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ELAIA GARDEN HOTEL</w:t>
      </w:r>
    </w:p>
    <w:p>
      <w:pPr>
        <w:jc w:val="center"/>
      </w:pPr>
      <w:r>
        <w:rPr>
          <w:color w:val="6B7280"/>
          <w:sz w:val="26"/>
        </w:rPr>
        <w:t>Sperlonga  ·  3 stelle</w:t>
      </w:r>
    </w:p>
    <w:p>
      <w:pPr>
        <w:spacing w:before="360"/>
        <w:pBdr>
          <w:bottom w:val="single" w:sz="12" w:space="6" w:color="2F5D62"/>
        </w:pBdr>
      </w:pPr>
    </w:p>
    <w:p>
      <w:pPr>
        <w:spacing w:before="160"/>
        <w:jc w:val="center"/>
      </w:pPr>
      <w:r>
        <w:rPr>
          <w:color w:val="6B7280"/>
          <w:sz w:val="18"/>
        </w:rPr>
        <w:t>Documento operativo · 21/07/2026 11:17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Executive summary &amp; posizionamento</w:t>
      </w:r>
    </w:p>
    <w:p>
      <w:pPr>
        <w:pStyle w:val="ListNumber"/>
      </w:pPr>
      <w:r>
        <w:t>02 — Segmenti prioritari &amp; messaggi</w:t>
      </w:r>
    </w:p>
    <w:p>
      <w:pPr>
        <w:pStyle w:val="ListNumber"/>
      </w:pPr>
      <w:r>
        <w:t>03 — Strategia di canale (core)</w:t>
      </w:r>
    </w:p>
    <w:p>
      <w:pPr>
        <w:pStyle w:val="ListNumber"/>
      </w:pPr>
      <w:r>
        <w:t>04 — Distribuzione &amp; mercati</w:t>
      </w:r>
    </w:p>
    <w:p>
      <w:pPr>
        <w:pStyle w:val="ListNumber"/>
      </w:pPr>
      <w:r>
        <w:t>05 — Roadmap 12 mesi</w:t>
      </w:r>
    </w:p>
    <w:p>
      <w:pPr>
        <w:pStyle w:val="ListNumber"/>
      </w:pPr>
      <w:r>
        <w:t>06 — Misurazione &amp; governance</w:t>
      </w:r>
    </w:p>
    <w:p>
      <w:pPr>
        <w:pStyle w:val="ListNumber"/>
      </w:pPr>
      <w:r>
        <w:t>07 — Budget (ripartizione %)</w:t>
      </w:r>
    </w:p>
    <w:p>
      <w:pPr>
        <w:pStyle w:val="ListNumber"/>
      </w:pPr>
      <w:r>
        <w:t>08 — Assunzioni &amp; input mancanti</w:t>
      </w:r>
    </w:p>
    <w:p>
      <w:r>
        <w:br w:type="page"/>
      </w:r>
    </w:p>
    <w:p>
      <w:pPr>
        <w:spacing w:after="0"/>
      </w:pPr>
      <w:r>
        <w:rPr>
          <w:b/>
          <w:color w:val="2F5D62"/>
          <w:sz w:val="18"/>
        </w:rPr>
        <w:t>SEZIONE 01</w:t>
      </w:r>
    </w:p>
    <w:p>
      <w:pPr>
        <w:spacing w:after="200"/>
        <w:pBdr>
          <w:bottom w:val="single" w:sz="18" w:space="6" w:color="2F5D62"/>
        </w:pBdr>
      </w:pPr>
      <w:r>
        <w:rPr>
          <w:b/>
          <w:color w:val="1A1A2E"/>
          <w:sz w:val="40"/>
        </w:rPr>
        <w:t>Executive summary &amp; posizionamento</w:t>
      </w:r>
    </w:p>
    <w:p>
      <w:r>
        <w:t>Elaia Garden Hotel gioca la sua partita nella fascia mid-range di Sperlonga come struttura a conduzione familiare, in posizione rialzata e defilata dal centro, con un prodotto costruito su relax, dettaglio e un tratto artistico-naturalistico che nessun concorrente diretto presidia. Il piano muove su quattro direttrici: consolidare il posizionamento couple-oriented dove il prodotto già converte, sviluppare in modo mirato l'estensione verso famiglie con figli grandi e gruppi di amici (l'uso naturale delle Camere Comunicanti), colmare il vuoto di visibilità organica e su assistenti AI che oggi lascia il campo a concorrenti diretti proprio nei momenti di ispirazione, e trasformare l'ospitalità familiare percepita in leva comunicativa esplicita invece che lasciarla implicita nel servizio. La promessa di valore da portare in ogni canale è coerente e semplice: un rifugio curato e accogliente, gestito da chi ce lo mette la faccia, con spiaggia inclusa, vista sul golfo e un tocco d'arte che nessun 3 stelle della zona offre.</w:t>
      </w:r>
    </w:p>
    <w:p>
      <w:r>
        <w:t>Il sito dichiara un target allargato — coppie, famiglie con figli grandi, coppie di amici, escursionisti — ma la clientela reale misurata converge in modo netto sulle coppie, con le famiglie come secondo bacino rilevante e i gruppi di amici come variante minoritaria. Le Camere Comunicanti, pensate proprio per famiglie con adolescenti o configurazioni multigenerazionali e per gruppi di amici, non trovano ancora riscontro esplicito nelle recensioni raccolte: è uno scarto tra posizionamento dichiarato e prodotto effettivamente riconosciuto dagli ospiti, non un errore di target. La priorità immediata non è inseguire un pubblico nuovo, ma rendere visibile e credibile — nel sito, nelle recensioni sollecitate, nei contenuti per gli assistenti AI — un uso del prodotto che oggi esiste solo sulla carta.</w:t>
      </w:r>
    </w:p>
    <w:p>
      <w:pPr>
        <w:spacing w:before="160" w:after="40"/>
      </w:pPr>
      <w:r>
        <w:rPr>
          <w:b/>
          <w:color w:val="2F5D62"/>
          <w:sz w:val="24"/>
        </w:rPr>
        <w:t>Obiettivi misurabili</w:t>
      </w:r>
    </w:p>
    <w:tbl>
      <w:tblPr>
        <w:tblStyle w:val="TableGrid"/>
        <w:tblW w:type="auto" w:w="0"/>
        <w:jc w:val="center"/>
        <w:tblLook w:firstColumn="1" w:firstRow="1" w:lastColumn="0" w:lastRow="0" w:noHBand="0" w:noVBand="1" w:val="04A0"/>
      </w:tblPr>
      <w:tblGrid>
        <w:gridCol w:w="4320"/>
        <w:gridCol w:w="4320"/>
      </w:tblGrid>
      <w:tr>
        <w:trPr>
          <w:tblHeader w:val="true"/>
        </w:trPr>
        <w:tc>
          <w:tcPr>
            <w:tcW w:type="dxa" w:w="4320"/>
            <w:shd w:val="clear" w:color="auto" w:fill="2F5D62"/>
          </w:tcPr>
          <w:p>
            <w:r>
              <w:rPr>
                <w:b/>
                <w:color w:val="FFFFFF"/>
                <w:sz w:val="19"/>
              </w:rPr>
              <w:t>Ambito</w:t>
            </w:r>
          </w:p>
        </w:tc>
        <w:tc>
          <w:tcPr>
            <w:tcW w:type="dxa" w:w="4320"/>
            <w:shd w:val="clear" w:color="auto" w:fill="2F5D62"/>
          </w:tcPr>
          <w:p>
            <w:r>
              <w:rPr>
                <w:b/>
                <w:color w:val="FFFFFF"/>
                <w:sz w:val="19"/>
              </w:rPr>
              <w:t>Obiettivo</w:t>
            </w:r>
          </w:p>
        </w:tc>
      </w:tr>
      <w:tr>
        <w:tc>
          <w:tcPr>
            <w:tcW w:type="dxa" w:w="4320"/>
          </w:tcPr>
          <w:p>
            <w:r>
              <w:rPr>
                <w:sz w:val="19"/>
              </w:rPr>
              <w:t>Posizionamento comunicativo</w:t>
            </w:r>
          </w:p>
        </w:tc>
        <w:tc>
          <w:tcPr>
            <w:tcW w:type="dxa" w:w="4320"/>
          </w:tcPr>
          <w:p>
            <w:r>
              <w:rPr>
                <w:sz w:val="19"/>
              </w:rPr>
              <w:t>Allineare entro la prossima stagione operativa i contenuti guida (sito, GBP, schede portale) al segmento coppie come priorità primaria e famiglie con figli grandi/gruppi di amici come priorità secondaria esplicita</w:t>
            </w:r>
          </w:p>
        </w:tc>
      </w:tr>
      <w:tr>
        <w:tc>
          <w:tcPr>
            <w:tcW w:type="dxa" w:w="4320"/>
            <w:shd w:val="clear" w:color="auto" w:fill="EEF2F1"/>
          </w:tcPr>
          <w:p>
            <w:r>
              <w:rPr>
                <w:sz w:val="19"/>
              </w:rPr>
              <w:t>Prodotto Camere Comunicanti</w:t>
            </w:r>
          </w:p>
        </w:tc>
        <w:tc>
          <w:tcPr>
            <w:tcW w:type="dxa" w:w="4320"/>
            <w:shd w:val="clear" w:color="auto" w:fill="EEF2F1"/>
          </w:tcPr>
          <w:p>
            <w:r>
              <w:rPr>
                <w:sz w:val="19"/>
              </w:rPr>
              <w:t>Costruire evidenza social (recensioni, contenuti) che documenti l'uso reale della camera comunicante da parte di famiglie/gruppi, oggi assente nel campione — obiettivo di processo, non numerico in questa fase</w:t>
            </w:r>
          </w:p>
        </w:tc>
      </w:tr>
      <w:tr>
        <w:tc>
          <w:tcPr>
            <w:tcW w:type="dxa" w:w="4320"/>
          </w:tcPr>
          <w:p>
            <w:r>
              <w:rPr>
                <w:sz w:val="19"/>
              </w:rPr>
              <w:t>Visibilità AI/organica</w:t>
            </w:r>
          </w:p>
        </w:tc>
        <w:tc>
          <w:tcPr>
            <w:tcW w:type="dxa" w:w="4320"/>
          </w:tcPr>
          <w:p>
            <w:r>
              <w:rPr>
                <w:sz w:val="19"/>
              </w:rPr>
              <w:t>Presidiare i prerequisiti di citabilità (dati strutturati, coerenza NAP, contenuti fattuali) per comparire nelle risposte degli assistenti AI sui segmenti coppie e famiglie, dove oggi la struttura risulta assente a favore di competitor diretti</w:t>
            </w:r>
          </w:p>
        </w:tc>
      </w:tr>
    </w:tbl>
    <w:p>
      <w:pPr>
        <w:spacing w:after="160"/>
      </w:pPr>
    </w:p>
    <w:p>
      <w:pPr>
        <w:spacing w:before="160" w:after="40"/>
      </w:pPr>
      <w:r>
        <w:rPr>
          <w:b/>
          <w:color w:val="2F5D62"/>
          <w:sz w:val="24"/>
        </w:rPr>
        <w:t>Azioni</w:t>
      </w:r>
    </w:p>
    <w:p>
      <w:pPr>
        <w:pStyle w:val="ListBullet"/>
      </w:pPr>
      <w:r>
        <w:t>Il segmento coppie pesa in modo netto sulla clientela reale e il prodotto (vista panoramica, atmosfera curata, arte contemporanea) è già coerente con quel pubblico: la mossa è mettere questo posizionamento al centro di homepage, meta-tag e schede portale, oggi orientati a un pubblico più generico, così da far coincidere ciò che il sito comunica con ciò che l'ospite reale cerca e trova.</w:t>
      </w:r>
    </w:p>
    <w:p>
      <w:pPr>
        <w:pStyle w:val="ListBullet"/>
      </w:pPr>
      <w:r>
        <w:t>Le Camere Comunicanti sono un asset a booking limitato (poche unità, alta esclusività) pensato per famiglie con figli grandi e gruppi di amici, ma restano invisibili nella prova sociale raccolta finora: senza recensioni e contenuti che ne mostrino l'uso concreto, il prodotto non decolla né in SERP né nelle risposte degli assistenti AI, dove oggi compaiono solo i competitor diretti. L'azione è costruire una pagina/sezione dedicata con casi d'uso specifici (famiglia con adolescenti, gruppo di amici) e sollecitare recensioni post-soggiorno mirate a questo segmento.</w:t>
      </w:r>
    </w:p>
    <w:p>
      <w:pPr>
        <w:pStyle w:val="ListBullet"/>
      </w:pPr>
      <w:r>
        <w:t>La gestione familiare (Umberto e Maria) è il tratto distintivo più riconosciuto dagli ospiti ma non emerge ancora come argomento di posizionamento nei testi ufficiali della struttura: va portato in primo piano — non come nota di colore, ma come promessa di servizio esplicita — perché è l'elemento che nessun competitor del set, inclusi quelli con più recensioni o più stelle, può replicare.</w:t>
      </w:r>
    </w:p>
    <w:p>
      <w:pPr>
        <w:pStyle w:val="ListBullet"/>
      </w:pPr>
      <w:r>
        <w:t>La posizione rialzata rispetto al centro storico è percepita in modo divergente tra chi scrive recensioni testuali (dove è un vantaggio) e chi valuta per sotto-categorie strutturate: la narrazione va quindi calibrata per anticipare l'obiezione della distanza, trasformandola in un argomento di freschezza e quiete anziché lasciarla come un dato neutro o peggiorativo.</w:t>
      </w:r>
    </w:p>
    <w:p>
      <w:pPr>
        <w:pStyle w:val="ListBullet"/>
      </w:pPr>
      <w:r>
        <w:t>L'assenza della struttura dalle risposte misurate degli assistenti AI sui segmenti prioritari, a fronte della presenza di competitor diretti, indica che il posizionamento non è ancora leggibile dalle fonti che quei modelli citano: prima di allocare budget su campagne a pagamento occorre presidiare i prerequisiti di citabilità (dati strutturati, coerenza delle informazioni tra sito, scheda Google e portali, contenuti fattuali sui segmenti target).</w:t>
      </w:r>
    </w:p>
    <w:p>
      <w:pPr>
        <w:spacing w:before="160" w:after="40"/>
      </w:pPr>
      <w:r>
        <w:rPr>
          <w:b/>
          <w:color w:val="2F5D62"/>
          <w:sz w:val="24"/>
        </w:rPr>
        <w:t>KPI</w:t>
      </w:r>
    </w:p>
    <w:p>
      <w:r>
        <w:t>I KPI numerici di controllo per questa sezione sono raccolti in sez. 06 (Misurazione); qui si richiamano solo come riferimento: coerenza del posizionamento dichiarato vs segmento reale, presenza in risposte di assistenti AI sui segmenti prioritari, evidenza social del prodotto Camere Comunicanti.</w:t>
      </w:r>
    </w:p>
    <w:p>
      <w:pPr>
        <w:spacing w:before="160" w:after="40"/>
      </w:pPr>
      <w:r>
        <w:rPr>
          <w:b/>
          <w:color w:val="2F5D62"/>
          <w:sz w:val="24"/>
        </w:rPr>
        <w:t>Note esecutive</w:t>
      </w:r>
    </w:p>
    <w:p>
      <w:r>
        <w:t>Il posizionamento va aggiornato prima di investire in acquisizione: comunicare a un pubblico generico un prodotto costruito per coppie e famiglie con figli grandi disperde budget e diluisce il messaggio. La sequenza corretta è allineamento dei contenuti guida, poi rafforzamento della prova sociale sui segmenti prioritari, infine spinta sui canali di acquisizione — nell'ordine trattato nelle sezioni successive del piano.</w:t>
      </w:r>
    </w:p>
    <w:p>
      <w:r>
        <w:br w:type="page"/>
      </w:r>
    </w:p>
    <w:p>
      <w:pPr>
        <w:spacing w:after="0"/>
      </w:pPr>
      <w:r>
        <w:rPr>
          <w:b/>
          <w:color w:val="2F5D62"/>
          <w:sz w:val="18"/>
        </w:rPr>
        <w:t>SEZIONE 02</w:t>
      </w:r>
    </w:p>
    <w:p>
      <w:pPr>
        <w:spacing w:after="200"/>
        <w:pBdr>
          <w:bottom w:val="single" w:sz="18" w:space="6" w:color="2F5D62"/>
        </w:pBdr>
      </w:pPr>
      <w:r>
        <w:rPr>
          <w:b/>
          <w:color w:val="1A1A2E"/>
          <w:sz w:val="40"/>
        </w:rPr>
        <w:t>Segmenti prioritari &amp; messaggi</w:t>
      </w:r>
    </w:p>
    <w:p>
      <w:pPr>
        <w:spacing w:before="160" w:after="40"/>
      </w:pPr>
      <w:r>
        <w:rPr>
          <w:b/>
          <w:color w:val="2F5D62"/>
          <w:sz w:val="24"/>
        </w:rPr>
        <w:t>Mix di clientela reale (decision record — verità del piano)</w:t>
      </w:r>
    </w:p>
    <w:p>
      <w:r>
        <w:t>Coppie + Famiglie = 71,2% del mix di clientela reale (recensioni Booking): Coppie 63,5% · Famiglie 7,7%.</w:t>
      </w:r>
    </w:p>
    <w:p>
      <w:r>
        <w:t>La priorità operativa va data ai due segmenti che la clientela reale conferma — coppie e famiglie con figli grandi — trattando i gruppi di amici come variante del prodotto camere comunicanti piuttosto che come persona autonoma da presidiare con budget dedicato. Per ciascun segmento il messaggio deve usare da subito il lessico di prodotto (formule, spiaggia inclusa, plan famiglia, book early): senza questi elementi la comunicazione resta generica e non intercetta la domanda reale già mappata nel gap organico.</w:t>
      </w:r>
    </w:p>
    <w:p>
      <w:pPr>
        <w:spacing w:before="160" w:after="40"/>
      </w:pPr>
      <w:r>
        <w:rPr>
          <w:b/>
          <w:color w:val="2F5D62"/>
          <w:sz w:val="24"/>
        </w:rPr>
        <w:t>Segmenti prioritari</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Segmento</w:t>
            </w:r>
          </w:p>
        </w:tc>
        <w:tc>
          <w:tcPr>
            <w:tcW w:type="dxa" w:w="1728"/>
            <w:shd w:val="clear" w:color="auto" w:fill="2F5D62"/>
          </w:tcPr>
          <w:p>
            <w:r>
              <w:rPr>
                <w:b/>
                <w:color w:val="FFFFFF"/>
                <w:sz w:val="19"/>
              </w:rPr>
              <w:t>Quota</w:t>
            </w:r>
          </w:p>
        </w:tc>
        <w:tc>
          <w:tcPr>
            <w:tcW w:type="dxa" w:w="1728"/>
            <w:shd w:val="clear" w:color="auto" w:fill="2F5D62"/>
          </w:tcPr>
          <w:p>
            <w:r>
              <w:rPr>
                <w:b/>
                <w:color w:val="FFFFFF"/>
                <w:sz w:val="19"/>
              </w:rPr>
              <w:t>Sotto-caso journey</w:t>
            </w:r>
          </w:p>
        </w:tc>
        <w:tc>
          <w:tcPr>
            <w:tcW w:type="dxa" w:w="1728"/>
            <w:shd w:val="clear" w:color="auto" w:fill="2F5D62"/>
          </w:tcPr>
          <w:p>
            <w:r>
              <w:rPr>
                <w:b/>
                <w:color w:val="FFFFFF"/>
                <w:sz w:val="19"/>
              </w:rPr>
              <w:t>Leva di prodotto da nominare</w:t>
            </w:r>
          </w:p>
        </w:tc>
        <w:tc>
          <w:tcPr>
            <w:tcW w:type="dxa" w:w="1728"/>
            <w:shd w:val="clear" w:color="auto" w:fill="2F5D62"/>
          </w:tcPr>
          <w:p>
            <w:r>
              <w:rPr>
                <w:b/>
                <w:color w:val="FFFFFF"/>
                <w:sz w:val="19"/>
              </w:rPr>
              <w:t>Finestra di prenotazione (contesto)</w:t>
            </w:r>
          </w:p>
        </w:tc>
      </w:tr>
      <w:tr>
        <w:tc>
          <w:tcPr>
            <w:tcW w:type="dxa" w:w="1728"/>
          </w:tcPr>
          <w:p>
            <w:r>
              <w:rPr>
                <w:sz w:val="19"/>
              </w:rPr>
              <w:t>Coppie</w:t>
            </w:r>
          </w:p>
        </w:tc>
        <w:tc>
          <w:tcPr>
            <w:tcW w:type="dxa" w:w="1728"/>
          </w:tcPr>
          <w:p>
            <w:r>
              <w:rPr>
                <w:sz w:val="19"/>
              </w:rPr>
              <w:t>~60%</w:t>
            </w:r>
          </w:p>
        </w:tc>
        <w:tc>
          <w:tcPr>
            <w:tcW w:type="dxa" w:w="1728"/>
          </w:tcPr>
          <w:p>
            <w:r>
              <w:rPr>
                <w:sz w:val="19"/>
              </w:rPr>
              <w:t>Mix 2A city-break, 2B coppia matura, 2C occasione speciale</w:t>
            </w:r>
          </w:p>
        </w:tc>
        <w:tc>
          <w:tcPr>
            <w:tcW w:type="dxa" w:w="1728"/>
          </w:tcPr>
          <w:p>
            <w:r>
              <w:rPr>
                <w:sz w:val="19"/>
              </w:rPr>
              <w:t>Camere con vista panoramica, spiaggia inclusa, atmosfera curata, Collezione Elaia</w:t>
            </w:r>
          </w:p>
        </w:tc>
        <w:tc>
          <w:tcPr>
            <w:tcW w:type="dxa" w:w="1728"/>
          </w:tcPr>
          <w:p>
            <w:r>
              <w:rPr>
                <w:sz w:val="19"/>
              </w:rPr>
              <w:t>Variabile: breve/last-minute per 2A, media per 2B/2C</w:t>
            </w:r>
          </w:p>
        </w:tc>
      </w:tr>
      <w:tr>
        <w:tc>
          <w:tcPr>
            <w:tcW w:type="dxa" w:w="1728"/>
            <w:shd w:val="clear" w:color="auto" w:fill="EEF2F1"/>
          </w:tcPr>
          <w:p>
            <w:r>
              <w:rPr>
                <w:sz w:val="19"/>
              </w:rPr>
              <w:t>Famiglie con figli grandi</w:t>
            </w:r>
          </w:p>
        </w:tc>
        <w:tc>
          <w:tcPr>
            <w:tcW w:type="dxa" w:w="1728"/>
            <w:shd w:val="clear" w:color="auto" w:fill="EEF2F1"/>
          </w:tcPr>
          <w:p>
            <w:r>
              <w:rPr>
                <w:sz w:val="19"/>
              </w:rPr>
              <w:t>~28%</w:t>
            </w:r>
          </w:p>
        </w:tc>
        <w:tc>
          <w:tcPr>
            <w:tcW w:type="dxa" w:w="1728"/>
            <w:shd w:val="clear" w:color="auto" w:fill="EEF2F1"/>
          </w:tcPr>
          <w:p>
            <w:r>
              <w:rPr>
                <w:sz w:val="19"/>
              </w:rPr>
              <w:t>Sub-caso 1B (kidfluence, adolescenti) e variante multigenerazionale</w:t>
            </w:r>
          </w:p>
        </w:tc>
        <w:tc>
          <w:tcPr>
            <w:tcW w:type="dxa" w:w="1728"/>
            <w:shd w:val="clear" w:color="auto" w:fill="EEF2F1"/>
          </w:tcPr>
          <w:p>
            <w:r>
              <w:rPr>
                <w:sz w:val="19"/>
              </w:rPr>
              <w:t>Camere Comunicanti (2 bagni, 2 TV, ingresso indipendente), mezza pensione, spiaggia inclusa</w:t>
            </w:r>
          </w:p>
        </w:tc>
        <w:tc>
          <w:tcPr>
            <w:tcW w:type="dxa" w:w="1728"/>
            <w:shd w:val="clear" w:color="auto" w:fill="EEF2F1"/>
          </w:tcPr>
          <w:p>
            <w:r>
              <w:rPr>
                <w:sz w:val="19"/>
              </w:rPr>
              <w:t>Medio-lunga, tipicamente mesi prima dell'alta stagione</w:t>
            </w:r>
          </w:p>
        </w:tc>
      </w:tr>
      <w:tr>
        <w:tc>
          <w:tcPr>
            <w:tcW w:type="dxa" w:w="1728"/>
          </w:tcPr>
          <w:p>
            <w:r>
              <w:rPr>
                <w:sz w:val="19"/>
              </w:rPr>
              <w:t>Gruppi di amici</w:t>
            </w:r>
          </w:p>
        </w:tc>
        <w:tc>
          <w:tcPr>
            <w:tcW w:type="dxa" w:w="1728"/>
          </w:tcPr>
          <w:p>
            <w:r>
              <w:rPr>
                <w:sz w:val="19"/>
              </w:rPr>
              <w:t>~9%</w:t>
            </w:r>
          </w:p>
        </w:tc>
        <w:tc>
          <w:tcPr>
            <w:tcW w:type="dxa" w:w="1728"/>
          </w:tcPr>
          <w:p>
            <w:r>
              <w:rPr>
                <w:sz w:val="19"/>
              </w:rPr>
              <w:t>Variante del prodotto camere comunicanti/couple</w:t>
            </w:r>
          </w:p>
        </w:tc>
        <w:tc>
          <w:tcPr>
            <w:tcW w:type="dxa" w:w="1728"/>
          </w:tcPr>
          <w:p>
            <w:r>
              <w:rPr>
                <w:sz w:val="19"/>
              </w:rPr>
              <w:t>Camere Comunicanti come soluzione condivisione spazi, flessibilità mezza pensione/bistrot</w:t>
            </w:r>
          </w:p>
        </w:tc>
        <w:tc>
          <w:tcPr>
            <w:tcW w:type="dxa" w:w="1728"/>
          </w:tcPr>
          <w:p>
            <w:r>
              <w:rPr>
                <w:sz w:val="19"/>
              </w:rPr>
              <w:t>Variabile, non presidiata come persona autonoma</w:t>
            </w:r>
          </w:p>
        </w:tc>
      </w:tr>
    </w:tbl>
    <w:p>
      <w:pPr>
        <w:spacing w:after="160"/>
      </w:pPr>
    </w:p>
    <w:p>
      <w:pPr>
        <w:spacing w:before="160" w:after="40"/>
      </w:pPr>
      <w:r>
        <w:rPr>
          <w:b/>
          <w:color w:val="2F5D62"/>
          <w:sz w:val="24"/>
        </w:rPr>
        <w:t>Obiettivi misurabili</w:t>
      </w:r>
    </w:p>
    <w:p>
      <w:pPr>
        <w:pStyle w:val="ListBullet"/>
      </w:pPr>
      <w:r>
        <w:t>Costruire e presidiare un messaggio segmentato (coppie / famiglie con figli grandi) su sito e canali social, con lessico di prodotto esplicito in ogni asset pubblicato entro il periodo di chiusura utile alla preparazione (v. sez. 05)</w:t>
      </w:r>
    </w:p>
    <w:p>
      <w:pPr>
        <w:pStyle w:val="ListBullet"/>
      </w:pPr>
      <w:r>
        <w:t>Impostare la raccolta di recensioni post-soggiorno con prompt mirati al lessico famiglia (camere comunicanti, spazi comuni) come obiettivo di processo, in assenza di una baseline sul volume di menzioni segmentate</w:t>
      </w:r>
    </w:p>
    <w:p>
      <w:pPr>
        <w:pStyle w:val="ListBullet"/>
      </w:pPr>
      <w:r>
        <w:t>Verificare la presenza e coerenza del messaggio couple-oriented (vista panoramica, atmosfera, arte contemporanea) sui punti di contatto extra-sito individuati in sez. 03/04</w:t>
      </w:r>
    </w:p>
    <w:p>
      <w:pPr>
        <w:spacing w:before="160" w:after="40"/>
      </w:pPr>
      <w:r>
        <w:rPr>
          <w:b/>
          <w:color w:val="2F5D62"/>
          <w:sz w:val="24"/>
        </w:rPr>
        <w:t>Azioni</w:t>
      </w:r>
    </w:p>
    <w:p>
      <w:r>
        <w:t>Il segmento coppie converge da due fonti indipendenti sulla stessa lettura, e il prodotto attuale — vista panoramica, spiaggia inclusa, atmosfera curata nei dettagli, arte contemporanea in camera — è già coerente con questo pubblico: la priorità non è reinventare l'offerta ma renderla riconoscibile nei contenuti con l'esatto lessico che il segmento cerca, distinguendo le due varianti principali. Per la variante city-break/weekend il messaggio deve puntare su immediatezza e possibilità di prenotare a ridosso della data, con la spiaggia inclusa come argomento decisivo rispetto a strutture concorrenti che la trattano come extra; per la variante coppia matura o occasione speciale il messaggio deve invece valorizzare la cura dei dettagli, l'arte contemporanea e la flessibilità tra mezza pensione, bistrot e pasti fuori, elementi che rispondono a una ricerca più meditata e a un contatto diretto più probabile prima della prenotazione.</w:t>
      </w:r>
    </w:p>
    <w:p>
      <w:r>
        <w:t>Le Camere Comunicanti sono pensate per famiglie con figli grandi e gruppi di amici, ma nessuna recensione nel campione le cita esplicitamente: il posizionamento dichiarato non ha ancora riscontro nel materiale che alimenta reputazione e visibilità. Va quindi costruito un messaggio che nomini la formula in modo esplicito — mezza pensione o pasto libero al bistrot, spiaggia inclusa, doppio servizio e ingresso indipendente per l'autonomia tra generazioni — e va sollecitata attivamente la prova sociale su questo esatto uso della camera, così che il lessico compaia nelle recensioni future e diventi materiale citabile anche fuori dal sito.</w:t>
      </w:r>
    </w:p>
    <w:p>
      <w:r>
        <w:t>I gruppi di amici pesano in modo marginale e il sito li tratta come target a sé: è più efficiente trattarli come estensione naturale del messaggio camere comunicanti (condivisione spazi, autonomia, formula flessibile) piuttosto che costruire un funnel o un contenuto dedicato, riservando lo sforzo comunicativo ai due segmenti maggiori.</w:t>
      </w:r>
    </w:p>
    <w:p>
      <w:pPr>
        <w:spacing w:before="160" w:after="40"/>
      </w:pPr>
      <w:r>
        <w:rPr>
          <w:b/>
          <w:color w:val="2F5D62"/>
          <w:sz w:val="24"/>
        </w:rPr>
        <w:t>KPI</w:t>
      </w:r>
    </w:p>
    <w:p>
      <w:pPr>
        <w:pStyle w:val="ListBullet"/>
      </w:pPr>
      <w:r>
        <w:t>KPI numerici di controllo per questa sezione: v. sez. 06</w:t>
      </w:r>
    </w:p>
    <w:p>
      <w:pPr>
        <w:spacing w:before="160" w:after="40"/>
      </w:pPr>
      <w:r>
        <w:rPr>
          <w:b/>
          <w:color w:val="2F5D62"/>
          <w:sz w:val="24"/>
        </w:rPr>
        <w:t>Note esecutive</w:t>
      </w:r>
    </w:p>
    <w:p>
      <w:pPr>
        <w:pStyle w:val="ListBullet"/>
      </w:pPr>
      <w:r>
        <w:t>Ogni asset (pagina sito, post, scheda su portale) destinato a famiglie o coppie deve contenere almeno una menzione esplicita della formula (mezza pensione/bistrot, spiaggia inclusa) e, per le famiglie, della camera comunicante: è un criterio di validazione redazionale, non un vincolo estetico</w:t>
      </w:r>
    </w:p>
    <w:p>
      <w:pPr>
        <w:pStyle w:val="ListBullet"/>
      </w:pPr>
      <w:r>
        <w:t>La raccolta di recensioni segmentate va coordinata con la gestione della reputazione (v. sez. 04), per evitare richieste duplicate o generiche all'ospite</w:t>
      </w:r>
    </w:p>
    <w:p>
      <w:pPr>
        <w:pStyle w:val="ListBullet"/>
      </w:pPr>
      <w:r>
        <w:t>Il mercato tedesco resta trasversale ai due segmenti principali (coppie in primis) e viene trattato come priorità di canale in sez. 03, non come persona separata in questa sezione</w:t>
      </w:r>
    </w:p>
    <w:p>
      <w:r>
        <w:br w:type="page"/>
      </w:r>
    </w:p>
    <w:p>
      <w:pPr>
        <w:spacing w:after="0"/>
      </w:pPr>
      <w:r>
        <w:rPr>
          <w:b/>
          <w:color w:val="2F5D62"/>
          <w:sz w:val="18"/>
        </w:rPr>
        <w:t>SEZIONE 03</w:t>
      </w:r>
    </w:p>
    <w:p>
      <w:pPr>
        <w:spacing w:after="200"/>
        <w:pBdr>
          <w:bottom w:val="single" w:sz="18" w:space="6" w:color="2F5D62"/>
        </w:pBdr>
      </w:pPr>
      <w:r>
        <w:rPr>
          <w:b/>
          <w:color w:val="1A1A2E"/>
          <w:sz w:val="40"/>
        </w:rPr>
        <w:t>Strategia di canale (core)</w:t>
      </w:r>
    </w:p>
    <w:p>
      <w:pPr>
        <w:spacing w:before="160" w:after="40"/>
      </w:pPr>
      <w:r>
        <w:rPr>
          <w:b/>
          <w:color w:val="2F5D62"/>
          <w:sz w:val="24"/>
        </w:rPr>
        <w:t>Matrice dei canali (decision record — verità del piano)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Canale</w:t>
            </w:r>
          </w:p>
        </w:tc>
        <w:tc>
          <w:tcPr>
            <w:tcW w:type="dxa" w:w="1728"/>
            <w:shd w:val="clear" w:color="auto" w:fill="2F5D62"/>
          </w:tcPr>
          <w:p>
            <w:r>
              <w:rPr>
                <w:b/>
                <w:color w:val="FFFFFF"/>
                <w:sz w:val="19"/>
              </w:rPr>
              <w:t>Verdetto</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Motivo</w:t>
            </w:r>
          </w:p>
        </w:tc>
        <w:tc>
          <w:tcPr>
            <w:tcW w:type="dxa" w:w="1728"/>
            <w:shd w:val="clear" w:color="auto" w:fill="2F5D62"/>
          </w:tcPr>
          <w:p>
            <w:r>
              <w:rPr>
                <w:b/>
                <w:color w:val="FFFFFF"/>
                <w:sz w:val="19"/>
              </w:rPr>
              <w:t>Dipendenze</w:t>
            </w:r>
          </w:p>
        </w:tc>
      </w:tr>
      <w:tr>
        <w:tc>
          <w:tcPr>
            <w:tcW w:type="dxa" w:w="1728"/>
          </w:tcPr>
          <w:p>
            <w:r>
              <w:rPr>
                <w:sz w:val="19"/>
              </w:rPr>
              <w:t>SEO organico</w:t>
            </w:r>
          </w:p>
        </w:tc>
        <w:tc>
          <w:tcPr>
            <w:tcW w:type="dxa" w:w="1728"/>
          </w:tcPr>
          <w:p>
            <w:r>
              <w:rPr>
                <w:sz w:val="19"/>
              </w:rPr>
              <w:t>Attivare (prioritario)</w:t>
            </w:r>
          </w:p>
        </w:tc>
        <w:tc>
          <w:tcPr>
            <w:tcW w:type="dxa" w:w="1728"/>
          </w:tcPr>
          <w:p>
            <w:r>
              <w:rPr>
                <w:sz w:val="19"/>
              </w:rPr>
              <w:t>alta</w:t>
            </w:r>
          </w:p>
        </w:tc>
        <w:tc>
          <w:tcPr>
            <w:tcW w:type="dxa" w:w="1728"/>
          </w:tcPr>
          <w:p>
            <w:r>
              <w:rPr>
                <w:sz w:val="19"/>
              </w:rPr>
              <w:t>35 keyword su 40 in gap (88%); 21600 ricerche/mese di domanda non presidiata. On-site: mancano dati strutturati per i rich result (breadcrumb, faq, review).</w:t>
            </w:r>
          </w:p>
        </w:tc>
        <w:tc>
          <w:tcPr>
            <w:tcW w:type="dxa" w:w="1728"/>
          </w:tcPr>
          <w:p>
            <w:r>
              <w:rPr>
                <w:sz w:val="19"/>
              </w:rPr>
              <w:t>—</w:t>
            </w:r>
          </w:p>
        </w:tc>
      </w:tr>
      <w:tr>
        <w:tc>
          <w:tcPr>
            <w:tcW w:type="dxa" w:w="1728"/>
            <w:shd w:val="clear" w:color="auto" w:fill="EEF2F1"/>
          </w:tcPr>
          <w:p>
            <w:r>
              <w:rPr>
                <w:sz w:val="19"/>
              </w:rPr>
              <w:t>Search advertising (Google Ads)</w:t>
            </w:r>
          </w:p>
        </w:tc>
        <w:tc>
          <w:tcPr>
            <w:tcW w:type="dxa" w:w="1728"/>
            <w:shd w:val="clear" w:color="auto" w:fill="EEF2F1"/>
          </w:tcPr>
          <w:p>
            <w:r>
              <w:rPr>
                <w:sz w:val="19"/>
              </w:rPr>
              <w:t>Attivare (stagionale)</w:t>
            </w:r>
          </w:p>
        </w:tc>
        <w:tc>
          <w:tcPr>
            <w:tcW w:type="dxa" w:w="1728"/>
            <w:shd w:val="clear" w:color="auto" w:fill="EEF2F1"/>
          </w:tcPr>
          <w:p>
            <w:r>
              <w:rPr>
                <w:sz w:val="19"/>
              </w:rPr>
              <w:t>media</w:t>
            </w:r>
          </w:p>
        </w:tc>
        <w:tc>
          <w:tcPr>
            <w:tcW w:type="dxa" w:w="1728"/>
            <w:shd w:val="clear" w:color="auto" w:fill="EEF2F1"/>
          </w:tcPr>
          <w:p>
            <w:r>
              <w:rPr>
                <w:sz w:val="19"/>
              </w:rPr>
              <w:t>88% della domanda misurata è ad alta competizione: la search advertising presidia le query commerciali dove l'organico non arriva in tempo, su doppia finestra (anticipo di mercato + sotto-data).</w:t>
            </w:r>
          </w:p>
        </w:tc>
        <w:tc>
          <w:tcPr>
            <w:tcW w:type="dxa" w:w="1728"/>
            <w:shd w:val="clear" w:color="auto" w:fill="EEF2F1"/>
          </w:tcPr>
          <w:p>
            <w:r>
              <w:rPr>
                <w:sz w:val="19"/>
              </w:rPr>
              <w:t>—</w:t>
            </w:r>
          </w:p>
        </w:tc>
      </w:tr>
      <w:tr>
        <w:tc>
          <w:tcPr>
            <w:tcW w:type="dxa" w:w="1728"/>
          </w:tcPr>
          <w:p>
            <w:r>
              <w:rPr>
                <w:sz w:val="19"/>
              </w:rPr>
              <w:t>Metasearch (Google Hotel Ads, Trivago)</w:t>
            </w:r>
          </w:p>
        </w:tc>
        <w:tc>
          <w:tcPr>
            <w:tcW w:type="dxa" w:w="1728"/>
          </w:tcPr>
          <w:p>
            <w:r>
              <w:rPr>
                <w:sz w:val="19"/>
              </w:rPr>
              <w:t>Non ora</w:t>
            </w:r>
          </w:p>
        </w:tc>
        <w:tc>
          <w:tcPr>
            <w:tcW w:type="dxa" w:w="1728"/>
          </w:tcPr>
          <w:p>
            <w:r>
              <w:rPr>
                <w:sz w:val="19"/>
              </w:rPr>
              <w:t>bassa</w:t>
            </w:r>
          </w:p>
        </w:tc>
        <w:tc>
          <w:tcPr>
            <w:tcW w:type="dxa" w:w="1728"/>
          </w:tcPr>
          <w:p>
            <w:r>
              <w:rPr>
                <w:sz w:val="19"/>
              </w:rPr>
              <w:t>Dipendenza non verificata: booking diretto presidiato + rate parity.</w:t>
            </w:r>
          </w:p>
        </w:tc>
        <w:tc>
          <w:tcPr>
            <w:tcW w:type="dxa" w:w="1728"/>
          </w:tcPr>
          <w:p>
            <w:r>
              <w:rPr>
                <w:sz w:val="19"/>
              </w:rPr>
              <w:t>booking_diretto, rate_parity</w:t>
            </w:r>
          </w:p>
        </w:tc>
      </w:tr>
      <w:tr>
        <w:tc>
          <w:tcPr>
            <w:tcW w:type="dxa" w:w="1728"/>
            <w:shd w:val="clear" w:color="auto" w:fill="EEF2F1"/>
          </w:tcPr>
          <w:p>
            <w:r>
              <w:rPr>
                <w:sz w:val="19"/>
              </w:rPr>
              <w:t>Sito &amp; booking diretto</w:t>
            </w:r>
          </w:p>
        </w:tc>
        <w:tc>
          <w:tcPr>
            <w:tcW w:type="dxa" w:w="1728"/>
            <w:shd w:val="clear" w:color="auto" w:fill="EEF2F1"/>
          </w:tcPr>
          <w:p>
            <w:r>
              <w:rPr>
                <w:sz w:val="19"/>
              </w:rPr>
              <w:t>Attivare (prioritario)</w:t>
            </w:r>
          </w:p>
        </w:tc>
        <w:tc>
          <w:tcPr>
            <w:tcW w:type="dxa" w:w="1728"/>
            <w:shd w:val="clear" w:color="auto" w:fill="EEF2F1"/>
          </w:tcPr>
          <w:p>
            <w:r>
              <w:rPr>
                <w:sz w:val="19"/>
              </w:rPr>
              <w:t>alta</w:t>
            </w:r>
          </w:p>
        </w:tc>
        <w:tc>
          <w:tcPr>
            <w:tcW w:type="dxa" w:w="1728"/>
            <w:shd w:val="clear" w:color="auto" w:fill="EEF2F1"/>
          </w:tcPr>
          <w:p>
            <w:r>
              <w:rPr>
                <w:sz w:val="19"/>
              </w:rPr>
              <w:t>Il canale diretto è l'obiettivo strutturale: manca il markup Offer/prezzi e il booking engine non è dichiarato — abilitare la conversione diretta (schema Offer, motore di prenotazione). Il listino va chiuso entro feb per aprire le vendite ai mercati esteri.</w:t>
            </w:r>
          </w:p>
        </w:tc>
        <w:tc>
          <w:tcPr>
            <w:tcW w:type="dxa" w:w="1728"/>
            <w:shd w:val="clear" w:color="auto" w:fill="EEF2F1"/>
          </w:tcPr>
          <w:p>
            <w:r>
              <w:rPr>
                <w:sz w:val="19"/>
              </w:rPr>
              <w:t>—</w:t>
            </w:r>
          </w:p>
        </w:tc>
      </w:tr>
      <w:tr>
        <w:tc>
          <w:tcPr>
            <w:tcW w:type="dxa" w:w="1728"/>
          </w:tcPr>
          <w:p>
            <w:r>
              <w:rPr>
                <w:sz w:val="19"/>
              </w:rPr>
              <w:t>OTA / distribuzione</w:t>
            </w:r>
          </w:p>
        </w:tc>
        <w:tc>
          <w:tcPr>
            <w:tcW w:type="dxa" w:w="1728"/>
          </w:tcPr>
          <w:p>
            <w:r>
              <w:rPr>
                <w:sz w:val="19"/>
              </w:rPr>
              <w:t>Mantenere</w:t>
            </w:r>
          </w:p>
        </w:tc>
        <w:tc>
          <w:tcPr>
            <w:tcW w:type="dxa" w:w="1728"/>
          </w:tcPr>
          <w:p>
            <w:r>
              <w:rPr>
                <w:sz w:val="19"/>
              </w:rPr>
              <w:t>bassa</w:t>
            </w:r>
          </w:p>
        </w:tc>
        <w:tc>
          <w:tcPr>
            <w:tcW w:type="dxa" w:w="1728"/>
          </w:tcPr>
          <w:p>
            <w:r>
              <w:rPr>
                <w:sz w:val="19"/>
              </w:rPr>
              <w:t>Distribuzione OTA da governare per il billboard effect: mantenere presenza e visibilità, spostando progressivamente quota sul canale diretto quando la parità regge.</w:t>
            </w:r>
          </w:p>
        </w:tc>
        <w:tc>
          <w:tcPr>
            <w:tcW w:type="dxa" w:w="1728"/>
          </w:tcPr>
          <w:p>
            <w:r>
              <w:rPr>
                <w:sz w:val="19"/>
              </w:rPr>
              <w:t>booking_diretto, rate_parity</w:t>
            </w:r>
          </w:p>
        </w:tc>
      </w:tr>
      <w:tr>
        <w:tc>
          <w:tcPr>
            <w:tcW w:type="dxa" w:w="1728"/>
            <w:shd w:val="clear" w:color="auto" w:fill="EEF2F1"/>
          </w:tcPr>
          <w:p>
            <w:r>
              <w:rPr>
                <w:sz w:val="19"/>
              </w:rPr>
              <w:t>Social organico</w:t>
            </w:r>
          </w:p>
        </w:tc>
        <w:tc>
          <w:tcPr>
            <w:tcW w:type="dxa" w:w="1728"/>
            <w:shd w:val="clear" w:color="auto" w:fill="EEF2F1"/>
          </w:tcPr>
          <w:p>
            <w:r>
              <w:rPr>
                <w:sz w:val="19"/>
              </w:rPr>
              <w:t>Rafforzare</w:t>
            </w:r>
          </w:p>
        </w:tc>
        <w:tc>
          <w:tcPr>
            <w:tcW w:type="dxa" w:w="1728"/>
            <w:shd w:val="clear" w:color="auto" w:fill="EEF2F1"/>
          </w:tcPr>
          <w:p>
            <w:r>
              <w:rPr>
                <w:sz w:val="19"/>
              </w:rPr>
              <w:t>media</w:t>
            </w:r>
          </w:p>
        </w:tc>
        <w:tc>
          <w:tcPr>
            <w:tcW w:type="dxa" w:w="1728"/>
            <w:shd w:val="clear" w:color="auto" w:fill="EEF2F1"/>
          </w:tcPr>
          <w:p>
            <w:r>
              <w:rPr>
                <w:sz w:val="19"/>
              </w:rPr>
              <w:t>3 asset visuali forti nel profilo (piscina/benessere/fronte mare/terrazza): raccogliere contenuto in stagione e potenziare la presenza organica.</w:t>
            </w:r>
          </w:p>
        </w:tc>
        <w:tc>
          <w:tcPr>
            <w:tcW w:type="dxa" w:w="1728"/>
            <w:shd w:val="clear" w:color="auto" w:fill="EEF2F1"/>
          </w:tcPr>
          <w:p>
            <w:r>
              <w:rPr>
                <w:sz w:val="19"/>
              </w:rPr>
              <w:t>—</w:t>
            </w:r>
          </w:p>
        </w:tc>
      </w:tr>
      <w:tr>
        <w:tc>
          <w:tcPr>
            <w:tcW w:type="dxa" w:w="1728"/>
          </w:tcPr>
          <w:p>
            <w:r>
              <w:rPr>
                <w:sz w:val="19"/>
              </w:rPr>
              <w:t>Social advertising</w:t>
            </w:r>
          </w:p>
        </w:tc>
        <w:tc>
          <w:tcPr>
            <w:tcW w:type="dxa" w:w="1728"/>
          </w:tcPr>
          <w:p>
            <w:r>
              <w:rPr>
                <w:sz w:val="19"/>
              </w:rPr>
              <w:t>Mantenere</w:t>
            </w:r>
          </w:p>
        </w:tc>
        <w:tc>
          <w:tcPr>
            <w:tcW w:type="dxa" w:w="1728"/>
          </w:tcPr>
          <w:p>
            <w:r>
              <w:rPr>
                <w:sz w:val="19"/>
              </w:rPr>
              <w:t>bassa</w:t>
            </w:r>
          </w:p>
        </w:tc>
        <w:tc>
          <w:tcPr>
            <w:tcW w:type="dxa" w:w="1728"/>
          </w:tcPr>
          <w:p>
            <w:r>
              <w:rPr>
                <w:sz w:val="19"/>
              </w:rPr>
              <w:t>Advertising social da attivare su segmenti e finestre stagionali definite: finestra ancorata al picco reale.</w:t>
            </w:r>
          </w:p>
        </w:tc>
        <w:tc>
          <w:tcPr>
            <w:tcW w:type="dxa" w:w="1728"/>
          </w:tcPr>
          <w:p>
            <w:r>
              <w:rPr>
                <w:sz w:val="19"/>
              </w:rPr>
              <w:t>—</w:t>
            </w:r>
          </w:p>
        </w:tc>
      </w:tr>
      <w:tr>
        <w:tc>
          <w:tcPr>
            <w:tcW w:type="dxa" w:w="1728"/>
            <w:shd w:val="clear" w:color="auto" w:fill="EEF2F1"/>
          </w:tcPr>
          <w:p>
            <w:r>
              <w:rPr>
                <w:sz w:val="19"/>
              </w:rPr>
              <w:t>Email &amp; CRM</w:t>
            </w:r>
          </w:p>
        </w:tc>
        <w:tc>
          <w:tcPr>
            <w:tcW w:type="dxa" w:w="1728"/>
            <w:shd w:val="clear" w:color="auto" w:fill="EEF2F1"/>
          </w:tcPr>
          <w:p>
            <w:r>
              <w:rPr>
                <w:sz w:val="19"/>
              </w:rPr>
              <w:t>Attivare</w:t>
            </w:r>
          </w:p>
        </w:tc>
        <w:tc>
          <w:tcPr>
            <w:tcW w:type="dxa" w:w="1728"/>
            <w:shd w:val="clear" w:color="auto" w:fill="EEF2F1"/>
          </w:tcPr>
          <w:p>
            <w:r>
              <w:rPr>
                <w:sz w:val="19"/>
              </w:rPr>
              <w:t>media</w:t>
            </w:r>
          </w:p>
        </w:tc>
        <w:tc>
          <w:tcPr>
            <w:tcW w:type="dxa" w:w="1728"/>
            <w:shd w:val="clear" w:color="auto" w:fill="EEF2F1"/>
          </w:tcPr>
          <w:p>
            <w:r>
              <w:rPr>
                <w:sz w:val="19"/>
              </w:rPr>
              <w:t>Famiglie e coppie sono il 71% della clientela reale: l'economia dei ripetenti giustifica email/CRM come leva di valore del cliente diretto.</w:t>
            </w:r>
          </w:p>
        </w:tc>
        <w:tc>
          <w:tcPr>
            <w:tcW w:type="dxa" w:w="1728"/>
            <w:shd w:val="clear" w:color="auto" w:fill="EEF2F1"/>
          </w:tcPr>
          <w:p>
            <w:r>
              <w:rPr>
                <w:sz w:val="19"/>
              </w:rPr>
              <w:t>—</w:t>
            </w:r>
          </w:p>
        </w:tc>
      </w:tr>
      <w:tr>
        <w:tc>
          <w:tcPr>
            <w:tcW w:type="dxa" w:w="1728"/>
          </w:tcPr>
          <w:p>
            <w:r>
              <w:rPr>
                <w:sz w:val="19"/>
              </w:rPr>
              <w:t>Reputation &amp; gestione recensioni</w:t>
            </w:r>
          </w:p>
        </w:tc>
        <w:tc>
          <w:tcPr>
            <w:tcW w:type="dxa" w:w="1728"/>
          </w:tcPr>
          <w:p>
            <w:r>
              <w:rPr>
                <w:sz w:val="19"/>
              </w:rPr>
              <w:t>Mantenere</w:t>
            </w:r>
          </w:p>
        </w:tc>
        <w:tc>
          <w:tcPr>
            <w:tcW w:type="dxa" w:w="1728"/>
          </w:tcPr>
          <w:p>
            <w:r>
              <w:rPr>
                <w:sz w:val="19"/>
              </w:rPr>
              <w:t>bassa</w:t>
            </w:r>
          </w:p>
        </w:tc>
        <w:tc>
          <w:tcPr>
            <w:tcW w:type="dxa" w:w="1728"/>
          </w:tcPr>
          <w:p>
            <w:r>
              <w:rPr>
                <w:sz w:val="19"/>
              </w:rPr>
              <w:t>Presidio reputazione da mantenere (canale trasversale al journey).</w:t>
            </w:r>
          </w:p>
        </w:tc>
        <w:tc>
          <w:tcPr>
            <w:tcW w:type="dxa" w:w="1728"/>
          </w:tcPr>
          <w:p>
            <w:r>
              <w:rPr>
                <w:sz w:val="19"/>
              </w:rPr>
              <w:t>—</w:t>
            </w:r>
          </w:p>
        </w:tc>
      </w:tr>
      <w:tr>
        <w:tc>
          <w:tcPr>
            <w:tcW w:type="dxa" w:w="1728"/>
            <w:shd w:val="clear" w:color="auto" w:fill="EEF2F1"/>
          </w:tcPr>
          <w:p>
            <w:r>
              <w:rPr>
                <w:sz w:val="19"/>
              </w:rPr>
              <w:t>AEO / assistenti AI</w:t>
            </w:r>
          </w:p>
        </w:tc>
        <w:tc>
          <w:tcPr>
            <w:tcW w:type="dxa" w:w="1728"/>
            <w:shd w:val="clear" w:color="auto" w:fill="EEF2F1"/>
          </w:tcPr>
          <w:p>
            <w:r>
              <w:rPr>
                <w:sz w:val="19"/>
              </w:rPr>
              <w:t>Mantenere</w:t>
            </w:r>
          </w:p>
        </w:tc>
        <w:tc>
          <w:tcPr>
            <w:tcW w:type="dxa" w:w="1728"/>
            <w:shd w:val="clear" w:color="auto" w:fill="EEF2F1"/>
          </w:tcPr>
          <w:p>
            <w:r>
              <w:rPr>
                <w:sz w:val="19"/>
              </w:rPr>
              <w:t>bassa</w:t>
            </w:r>
          </w:p>
        </w:tc>
        <w:tc>
          <w:tcPr>
            <w:tcW w:type="dxa" w:w="1728"/>
            <w:shd w:val="clear" w:color="auto" w:fill="EEF2F1"/>
          </w:tcPr>
          <w:p>
            <w:r>
              <w:rPr>
                <w:sz w:val="19"/>
              </w:rPr>
              <w:t>Audit AEO parziale/provvisorio (copertura provider incompleta): trattare come segnale, non come baseline consolidata.</w:t>
            </w:r>
          </w:p>
        </w:tc>
        <w:tc>
          <w:tcPr>
            <w:tcW w:type="dxa" w:w="1728"/>
            <w:shd w:val="clear" w:color="auto" w:fill="EEF2F1"/>
          </w:tcPr>
          <w:p>
            <w:r>
              <w:rPr>
                <w:sz w:val="19"/>
              </w:rPr>
              <w:t>—</w:t>
            </w:r>
          </w:p>
        </w:tc>
      </w:tr>
      <w:tr>
        <w:tc>
          <w:tcPr>
            <w:tcW w:type="dxa" w:w="1728"/>
          </w:tcPr>
          <w:p>
            <w:r>
              <w:rPr>
                <w:sz w:val="19"/>
              </w:rPr>
              <w:t>Mercato DACH (area di lingua tedesca)</w:t>
            </w:r>
          </w:p>
        </w:tc>
        <w:tc>
          <w:tcPr>
            <w:tcW w:type="dxa" w:w="1728"/>
          </w:tcPr>
          <w:p>
            <w:r>
              <w:rPr>
                <w:sz w:val="19"/>
              </w:rPr>
              <w:t>Attivare</w:t>
            </w:r>
          </w:p>
        </w:tc>
        <w:tc>
          <w:tcPr>
            <w:tcW w:type="dxa" w:w="1728"/>
          </w:tcPr>
          <w:p>
            <w:r>
              <w:rPr>
                <w:sz w:val="19"/>
              </w:rPr>
              <w:t>media</w:t>
            </w:r>
          </w:p>
        </w:tc>
        <w:tc>
          <w:tcPr>
            <w:tcW w:type="dxa" w:w="1728"/>
          </w:tcPr>
          <w:p>
            <w:r>
              <w:rPr>
                <w:sz w:val="19"/>
              </w:rPr>
              <w:t>Mercato DACH già presente: scheda HolidayCheck attiva. Il tedesco prenota con ~5 mesi di anticipo: aprire le vendite di conseguenza.</w:t>
            </w:r>
          </w:p>
        </w:tc>
        <w:tc>
          <w:tcPr>
            <w:tcW w:type="dxa" w:w="1728"/>
          </w:tcPr>
          <w:p>
            <w:r>
              <w:rPr>
                <w:sz w:val="19"/>
              </w:rPr>
              <w:t>—</w:t>
            </w:r>
          </w:p>
        </w:tc>
      </w:tr>
      <w:tr>
        <w:tc>
          <w:tcPr>
            <w:tcW w:type="dxa" w:w="1728"/>
            <w:shd w:val="clear" w:color="auto" w:fill="EEF2F1"/>
          </w:tcPr>
          <w:p>
            <w:r>
              <w:rPr>
                <w:sz w:val="19"/>
              </w:rPr>
              <w:t>Segmento business / MICE</w:t>
            </w:r>
          </w:p>
        </w:tc>
        <w:tc>
          <w:tcPr>
            <w:tcW w:type="dxa" w:w="1728"/>
            <w:shd w:val="clear" w:color="auto" w:fill="EEF2F1"/>
          </w:tcPr>
          <w:p>
            <w:r>
              <w:rPr>
                <w:sz w:val="19"/>
              </w:rPr>
              <w:t>Non ora</w:t>
            </w:r>
          </w:p>
        </w:tc>
        <w:tc>
          <w:tcPr>
            <w:tcW w:type="dxa" w:w="1728"/>
            <w:shd w:val="clear" w:color="auto" w:fill="EEF2F1"/>
          </w:tcPr>
          <w:p>
            <w:r>
              <w:rPr>
                <w:sz w:val="19"/>
              </w:rPr>
              <w:t>bassa</w:t>
            </w:r>
          </w:p>
        </w:tc>
        <w:tc>
          <w:tcPr>
            <w:tcW w:type="dxa" w:w="1728"/>
            <w:shd w:val="clear" w:color="auto" w:fill="EEF2F1"/>
          </w:tcPr>
          <w:p>
            <w:r>
              <w:rPr>
                <w:sz w:val="19"/>
              </w:rPr>
              <w:t>Le fiere principali cadono quando la struttura è chiusa.</w:t>
            </w:r>
          </w:p>
        </w:tc>
        <w:tc>
          <w:tcPr>
            <w:tcW w:type="dxa" w:w="1728"/>
            <w:shd w:val="clear" w:color="auto" w:fill="EEF2F1"/>
          </w:tcPr>
          <w:p>
            <w:r>
              <w:rPr>
                <w:sz w:val="19"/>
              </w:rPr>
              <w:t>—</w:t>
            </w:r>
          </w:p>
        </w:tc>
      </w:tr>
      <w:tr>
        <w:tc>
          <w:tcPr>
            <w:tcW w:type="dxa" w:w="1728"/>
          </w:tcPr>
          <w:p>
            <w:r>
              <w:rPr>
                <w:sz w:val="19"/>
              </w:rPr>
              <w:t>Local &amp; Google Business Profile</w:t>
            </w:r>
          </w:p>
        </w:tc>
        <w:tc>
          <w:tcPr>
            <w:tcW w:type="dxa" w:w="1728"/>
          </w:tcPr>
          <w:p>
            <w:r>
              <w:rPr>
                <w:sz w:val="19"/>
              </w:rPr>
              <w:t>Attivare</w:t>
            </w:r>
          </w:p>
        </w:tc>
        <w:tc>
          <w:tcPr>
            <w:tcW w:type="dxa" w:w="1728"/>
          </w:tcPr>
          <w:p>
            <w:r>
              <w:rPr>
                <w:sz w:val="19"/>
              </w:rPr>
              <w:t>media</w:t>
            </w:r>
          </w:p>
        </w:tc>
        <w:tc>
          <w:tcPr>
            <w:tcW w:type="dxa" w:w="1728"/>
          </w:tcPr>
          <w:p>
            <w:r>
              <w:rPr>
                <w:sz w:val="19"/>
              </w:rPr>
              <w:t>Schema struttura presente ma senza indirizzo strutturato (NAP): completare il markup LocalBusiness/PostalAddress e allineare la scheda locale.</w:t>
            </w:r>
          </w:p>
        </w:tc>
        <w:tc>
          <w:tcPr>
            <w:tcW w:type="dxa" w:w="1728"/>
          </w:tcPr>
          <w:p>
            <w:r>
              <w:rPr>
                <w:sz w:val="19"/>
              </w:rPr>
              <w:t>—</w:t>
            </w:r>
          </w:p>
        </w:tc>
      </w:tr>
    </w:tbl>
    <w:p>
      <w:pPr>
        <w:spacing w:after="160"/>
      </w:pPr>
    </w:p>
    <w:p>
      <w:pPr>
        <w:spacing w:before="160" w:after="40"/>
      </w:pPr>
      <w:r>
        <w:rPr>
          <w:b/>
          <w:color w:val="2F5D62"/>
          <w:sz w:val="24"/>
        </w:rPr>
        <w:t>Matrice di canale</w:t>
      </w:r>
    </w:p>
    <w:p>
      <w:r>
        <w:t>La lettura della matrice impone una sequenza precisa, non un assalto simultaneo su tutti i fronti. La struttura vive già di un canale OTA solido — Booking, Expedia, Hotels.com portano insieme quasi 300 recensioni e restano centrali per il volume, soprattutto sulla stagionalità marcata di Sperlonga — ma il vero terreno scoperto è duplice: da un lato l'organico locale, dove solo 5 keyword su 40 pertinenti sono presidiate a fronte di un gap di domanda di circa 21.600 ricerche mensili; dall'altro la coerenza tra ciò che il sito promette (tariffa migliore garantita solo online) e ciò che accade davvero sui canali di comparazione, oggi non verificato. Il diretto merita l'investimento più alto del piano, ma non può partire prima che questa verifica sia fatta: spingere budget su un booking engine che perde il confronto tariffario sui metasearch brucia risorse senza spostare la quota.</w:t>
      </w:r>
    </w:p>
    <w:p>
      <w:r>
        <w:t>Il presidio SEO locale e il rafforzamento della scheda Google Business Profile vanno avviati subito, senza dipendenze bloccanti: sono le due leve che intercettano la domanda nel momento dell'ispirazione, prima che il potenziale ospite arrivi su un portale o su un competitor. Il contatto diretto — telefono, email, un canale rapido tipo WhatsApp — va reso visibile con la stessa urgenza, perché è il punto in cui si decide se una richiesta di personalizzazione (una camera comunicante, un'occasione speciale) resta dentro il canale proprio o scivola su un'OTA. Il mercato tedesco e il CRM restano leve di seconda fase: la prima ha bisogno di contenuti in lingua corretta e di un presidio HolidayCheck oggi minimo, la seconda richiede prima una base di contatti raccolti che oggi non risulta strutturata.</w:t>
      </w:r>
    </w:p>
    <w:p>
      <w:pPr>
        <w:spacing w:before="160" w:after="40"/>
      </w:pPr>
      <w:r>
        <w:rPr>
          <w:b/>
          <w:color w:val="2F5D62"/>
          <w:sz w:val="24"/>
        </w:rPr>
        <w:t>Obiettivi misurabili</w:t>
      </w:r>
    </w:p>
    <w:p>
      <w:pPr>
        <w:pStyle w:val="ListBullet"/>
      </w:pPr>
      <w:r>
        <w:t>Verificare presenza e parità tariffaria del diretto su Google Hotel Ads (obiettivo di processo: baseline oggi non disponibile)</w:t>
      </w:r>
    </w:p>
    <w:p>
      <w:pPr>
        <w:pStyle w:val="ListBullet"/>
      </w:pPr>
      <w:r>
        <w:t>Completare e ottimizzare la scheda Google Business Profile (obiettivo di processo: stato attuale non rilevato)</w:t>
      </w:r>
    </w:p>
    <w:p>
      <w:pPr>
        <w:pStyle w:val="ListBullet"/>
      </w:pPr>
      <w:r>
        <w:t>Pubblicare e presidiare almeno un canale di contatto diretto rapido (telefono/email visibili, eventuale WhatsApp)</w:t>
      </w:r>
    </w:p>
    <w:p>
      <w:pPr>
        <w:pStyle w:val="ListBullet"/>
      </w:pPr>
      <w:r>
        <w:t>Ampliare il presidio organico sulle keyword di domanda generica di destinazione (v. sez. 06 per i target numerici)</w:t>
      </w:r>
    </w:p>
    <w:p>
      <w:pPr>
        <w:spacing w:before="160" w:after="40"/>
      </w:pPr>
      <w:r>
        <w:rPr>
          <w:b/>
          <w:color w:val="2F5D62"/>
          <w:sz w:val="24"/>
        </w:rPr>
        <w:t>Azioni</w:t>
      </w:r>
    </w:p>
    <w:p>
      <w:r>
        <w:t>La tariffa migliore garantita dal sito è l'argomento centrale con cui la struttura prova a spostare prenotazioni dal canale intermediato al diretto, ma un argomento non verificato è un rischio: se su Trivago o Kayak — dove Elaia raccoglie insieme oltre mille recensioni tra le due piattaforme — il prezzo diretto risultasse pari o peggiore, la comunicazione della miglior tariffa perderebbe credibilità agli occhi di chi confronta prima di prenotare. La prima azione, quindi, è tecnica e precede qualunque investimento pubblicitario sul diretto: mappare la presenza e la parità su almeno Google Hotel Ads, poi su Trivago e Kayak, e correggere gli scostamenti con il gestore del channel manager.</w:t>
      </w:r>
    </w:p>
    <w:p>
      <w:r>
        <w:t>Il gap tra domanda generica di destinazione e presidio organico è la seconda priorità operativa, e va sciolto lavorando prima sui contenuti dell'attuale sito piuttosto che su nuove pagine sparse: query come «hotel sperlonga sul mare» o «hotel a sperlonga con spiaggia privata» sono già presenti in indicizzazione ma fuori dalle posizioni che contano, il che segnala un problema di autorità e struttura dei contenuti più che di assenza totale. L'azione è costruire contenuti dedicati che rispondano esplicitamente a queste query — con il lessico di prodotto (spiaggia inclusa, mezza pensione, camere comunicanti) e dati strutturati coerenti — e rafforzare la presenza sul portale ufficiale della destinazione, verificando che nome, indirizzo e telefono coincidano ovunque con la scheda Google.</w:t>
      </w:r>
    </w:p>
    <w:p>
      <w:r>
        <w:t>L'assenza di contatti diretti visibili nei dati disponibili è un vuoto che va colmato prima di qualunque campagna a pagamento sul diretto: un ospite che cerca di personalizzare un soggiorno in una delle tre coppie di Camere Comunicanti, o che vuole organizzare un'occasione speciale, oggi non ha un canale rapido per farlo e rischia di dirottare la richiesta su un'OTA o su un competitor. L'azione è rendere ben visibili telefono ed email sul sito e valutare un canale di messaggistica diretta, così da intercettare la richiesta nel momento in cui nasce.</w:t>
      </w:r>
    </w:p>
    <w:p>
      <w:r>
        <w:t>Sulla scheda Google Business Profile, il fatto che lo stato attuale non sia stato rilevato non va letto come priorità bassa: è il canale locale a più alta intenzione e a costo di presidio più contenuto, e va verificato e completato (categorie, foto, gestione delle domande) in parallelo al lavoro SEO, perché i due canali si rinforzano a vicenda nella stessa ricerca dell'utente.</w:t>
      </w:r>
    </w:p>
    <w:p>
      <w:r>
        <w:t>Il mercato tedesco resta un canale da attivare con gradualità: il punteggio già alto raccolto su HolidayCheck indica un potenziale non ancora sfruttato, ma la priorità immediata è contenutistica — pagine e schede in lingua corretta — più che di investimento pubblicitario, e va sequenziato dopo aver messo a posto diretto e organico.</w:t>
      </w:r>
    </w:p>
    <w:p>
      <w:pPr>
        <w:spacing w:before="160" w:after="40"/>
      </w:pPr>
      <w:r>
        <w:rPr>
          <w:b/>
          <w:color w:val="2F5D62"/>
          <w:sz w:val="24"/>
        </w:rPr>
        <w:t>KPI</w:t>
      </w:r>
    </w:p>
    <w:p>
      <w:r>
        <w:t>I KPI numerici di controllo per ciascuna azione di questa sezione sono raccolti in sez. 06.</w:t>
      </w:r>
    </w:p>
    <w:p>
      <w:pPr>
        <w:spacing w:before="160" w:after="40"/>
      </w:pPr>
      <w:r>
        <w:rPr>
          <w:b/>
          <w:color w:val="2F5D62"/>
          <w:sz w:val="24"/>
        </w:rPr>
        <w:t>Note esecutive</w:t>
      </w:r>
    </w:p>
    <w:p>
      <w:pPr>
        <w:pStyle w:val="ListBullet"/>
      </w:pPr>
      <w:r>
        <w:t>La verifica di parità sui metasearch è propedeutica a qualunque spinta di budget sul diretto: senza quel controllo, l'azione successiva resta bloccata.</w:t>
      </w:r>
    </w:p>
    <w:p>
      <w:pPr>
        <w:pStyle w:val="ListBullet"/>
      </w:pPr>
      <w:r>
        <w:t>Il presidio SEO e la scheda Google Business Profile non hanno dipendenze bloccanti e possono partire in parallelo da subito.</w:t>
      </w:r>
    </w:p>
    <w:p>
      <w:pPr>
        <w:pStyle w:val="ListBullet"/>
      </w:pPr>
      <w:r>
        <w:t>Il canale OTA resta gestito, non sostituito: l'obiettivo non è ridurne il peso a tutti i costi ma migliorare il margine spostando quota dove le condizioni (parità, contenuti, contatto diretto) lo permettono.</w:t>
      </w:r>
    </w:p>
    <w:p>
      <w:pPr>
        <w:pStyle w:val="ListBullet"/>
      </w:pPr>
      <w:r>
        <w:t>Le metriche tariffarie e di rendimento restano di competenza della struttura; questo piano non tocca prezzi e listini se non come vetrina sui canali indicati.</w:t>
      </w:r>
    </w:p>
    <w:p>
      <w:r>
        <w:br w:type="page"/>
      </w:r>
    </w:p>
    <w:p>
      <w:pPr>
        <w:spacing w:after="0"/>
      </w:pPr>
      <w:r>
        <w:rPr>
          <w:b/>
          <w:color w:val="2F5D62"/>
          <w:sz w:val="18"/>
        </w:rPr>
        <w:t>SEZIONE 04</w:t>
      </w:r>
    </w:p>
    <w:p>
      <w:pPr>
        <w:spacing w:after="200"/>
        <w:pBdr>
          <w:bottom w:val="single" w:sz="18" w:space="6" w:color="2F5D62"/>
        </w:pBdr>
      </w:pPr>
      <w:r>
        <w:rPr>
          <w:b/>
          <w:color w:val="1A1A2E"/>
          <w:sz w:val="40"/>
        </w:rPr>
        <w:t>Distribuzione &amp; mercati</w:t>
      </w:r>
    </w:p>
    <w:p>
      <w:r>
        <w:t>La distribuzione di Elaia Garden Hotel va governata, non riprogettata: il mix linguistico delle recensioni Booking mostra una domanda quasi interamente italiana (77,7%) con un nucleo tedesco reale ma minoritario (8,7%) e code russa (4,9%) e svedese (2,9%). Il compito di questa sezione non è inventare mercati assenti, ma presidiare meglio i canali dove la struttura è già scelta — a partire dal portale che oggi porta il grosso del volume — e mettere ordine nel canale DACH, che ha un segnale di soddisfazione alto ma una presenza commerciale sproporzionatamente debole rispetto a quel segnale.</w:t>
      </w:r>
    </w:p>
    <w:p>
      <w:pPr>
        <w:spacing w:before="160" w:after="40"/>
      </w:pPr>
      <w:r>
        <w:rPr>
          <w:b/>
          <w:color w:val="2F5D62"/>
          <w:sz w:val="24"/>
        </w:rPr>
        <w:t>Obiettivi misurabili</w:t>
      </w:r>
    </w:p>
    <w:p>
      <w:pPr>
        <w:pStyle w:val="ListBullet"/>
      </w:pPr>
      <w:r>
        <w:t>Portare a completezza e coerenza la scheda su tutti i portali OTA attivi (foto, descrizione, servizi) entro l'apertura di stagione (obiettivo di processo, v. sez. 06)</w:t>
      </w:r>
    </w:p>
    <w:p>
      <w:pPr>
        <w:pStyle w:val="ListBullet"/>
      </w:pPr>
      <w:r>
        <w:t>Verificare e sanare eventuali disallineamenti NAP tra sito, Google Business Profile e portale HolidayCheck (obiettivo di processo, v. sez. 06)</w:t>
      </w:r>
    </w:p>
    <w:p>
      <w:pPr>
        <w:pStyle w:val="ListBullet"/>
      </w:pPr>
      <w:r>
        <w:t>Impostare un piano editoriale minimo in tedesco su almeno un canale rivolto al mercato DACH (obiettivo di processo, v. sez. 06)</w:t>
      </w:r>
    </w:p>
    <w:p>
      <w:pPr>
        <w:spacing w:before="160" w:after="40"/>
      </w:pPr>
      <w:r>
        <w:rPr>
          <w:b/>
          <w:color w:val="2F5D62"/>
          <w:sz w:val="24"/>
        </w:rPr>
        <w:t>Azioni</w:t>
      </w:r>
    </w:p>
    <w:p>
      <w:r>
        <w:t>Le OTA generaliste restano oggi il canale con più volume di recensioni e quindi, verosimilmente, di prenotazioni: su un mercato dove la domanda italiana prevale e dove il diretto non ha ancora una parità verificata sui metasearch (v. sez. 03), combattere le OTA sarebbe un errore strategico prima ancora che pratico. La priorità è governarle: rendere ogni scheda (Booking, Expedia, Kayak, Trivago, Hotels.com) uniforme nei contenuti e nelle foto, così che l'effetto vetrina lavori a favore del brand invece che disperdersi in versioni disallineate della stessa struttura. Questo non richiede investimento pubblicitario, solo disciplina editoriale sulle schede esistenti.</w:t>
      </w:r>
    </w:p>
    <w:p>
      <w:r>
        <w:t>Il canale HolidayCheck segnala un giudizio molto alto ma un volume di recensioni quasi nullo: è il sintomo di una presenza commerciale minima sul portale leader del mercato di lingua tedesca, a fronte di una quota reale di ospiti tedeschi già presente e soddisfatta. Non si tratta di aprire un mercato nuovo, ma di dare finalmente struttura a un mercato che sceglie già la struttura senza che questa lo presidii: la scheda HolidayCheck va aggiornata e resa attiva, e va verificato che il sito e i materiali informativi principali esistano in una versione tedesca corretta, non tradotta automaticamente — è un prerequisito perché quella quota possa consolidarsi invece di restare un episodio.</w:t>
      </w:r>
    </w:p>
    <w:p>
      <w:r>
        <w:t>La lingua inglese, russa, francese, polacca, olandese e svedese compaiono nel mix recensioni in quote minime o simboliche: non giustificano un piano di canale dedicato in questa fase, ma vanno lasciate intercettabili passivamente (contenuti in inglese come lingua-ponte, nessuna barriera linguistica sul booking engine) senza costruirci sopra investimento attivo. Forzare una comunicazione multi-mercato oggi diluirebbe risorse che vanno concentrate su italiano e tedesco.</w:t>
      </w:r>
    </w:p>
    <w:p>
      <w:r>
        <w:t>La qualità delle schede-portale è anche il primo passo di citabilità per gli assistenti conversazionali: un profilo OTA incompleto o incoerente con il sito pesa quanto un sito povero di contenuti quando un motore o un assistente deve decidere chi citare per una ricerca di destinazione. Curare la coerenza NAP e i contenuti fattuali su tutti i portali attivi è quindi un'azione che serve alla distribuzione oggi e alla visibilità futura, senza costi aggiuntivi oltre al tempo di gestione.</w:t>
      </w:r>
    </w:p>
    <w:p>
      <w:pPr>
        <w:spacing w:before="160" w:after="40"/>
      </w:pPr>
      <w:r>
        <w:rPr>
          <w:b/>
          <w:color w:val="2F5D62"/>
          <w:sz w:val="24"/>
        </w:rPr>
        <w:t>KPI</w:t>
      </w:r>
    </w:p>
    <w:p>
      <w:r>
        <w:t>I KPI numerici di controllo per questa sezione (completezza schede, ripristino attività su HolidayCheck, avvio piano DACH) sono raccolti in sez. 06.</w:t>
      </w:r>
    </w:p>
    <w:p>
      <w:pPr>
        <w:spacing w:before="160" w:after="40"/>
      </w:pPr>
      <w:r>
        <w:rPr>
          <w:b/>
          <w:color w:val="2F5D62"/>
          <w:sz w:val="24"/>
        </w:rPr>
        <w:t>Note esecutive</w:t>
      </w:r>
    </w:p>
    <w:p>
      <w:pPr>
        <w:pStyle w:val="ListBullet"/>
      </w:pPr>
      <w:r>
        <w:t>La distinzione tra effetto vetrina e prenotazione diretta resta di difficile misurazione: non va sovravenduta come argomento, va solo governata operativamente</w:t>
      </w:r>
    </w:p>
    <w:p>
      <w:pPr>
        <w:pStyle w:val="ListBullet"/>
      </w:pPr>
      <w:r>
        <w:t>L'apertura o il rafforzamento di ulteriori mercati esteri non presenti nel mix reale (es. mercati scandinavi oltre lo svedese, o mercati extra-UE) non è un'azione prioritaria di questo piano: andrebbe valutata solo dopo aver consolidato italiano e tedesco</w:t>
      </w:r>
    </w:p>
    <w:p>
      <w:pPr>
        <w:pStyle w:val="ListBullet"/>
      </w:pPr>
      <w:r>
        <w:t>La verifica di presenza e parità tariffaria sui metasearch resta propedeutica a qualunque investimento sul diretto ed è già segnalata in sez. 03: qui si riprende solo per la sua ricaduta sulla coerenza delle schede-portale</w:t>
      </w:r>
    </w:p>
    <w:p>
      <w:r>
        <w:br w:type="page"/>
      </w:r>
    </w:p>
    <w:p>
      <w:pPr>
        <w:spacing w:after="0"/>
      </w:pPr>
      <w:r>
        <w:rPr>
          <w:b/>
          <w:color w:val="2F5D62"/>
          <w:sz w:val="18"/>
        </w:rPr>
        <w:t>SEZIONE 05</w:t>
      </w:r>
    </w:p>
    <w:p>
      <w:pPr>
        <w:spacing w:after="200"/>
        <w:pBdr>
          <w:bottom w:val="single" w:sz="18" w:space="6" w:color="2F5D62"/>
        </w:pBdr>
      </w:pPr>
      <w:r>
        <w:rPr>
          <w:b/>
          <w:color w:val="1A1A2E"/>
          <w:sz w:val="40"/>
        </w:rPr>
        <w:t>Roadmap 12 mesi</w:t>
      </w:r>
    </w:p>
    <w:p>
      <w:pPr>
        <w:spacing w:before="160" w:after="40"/>
      </w:pPr>
      <w:r>
        <w:rPr>
          <w:b/>
          <w:color w:val="2F5D62"/>
          <w:sz w:val="24"/>
        </w:rPr>
        <w:t>Vincoli operativi della roadmap (decision record)</w:t>
      </w:r>
    </w:p>
    <w:p>
      <w:r>
        <w:t>Archetipo operativo: stagionale puro (~mag-set). Mesi di apertura: apr, mag, giu, lug, ago, set.</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Vincolo</w:t>
            </w:r>
          </w:p>
        </w:tc>
        <w:tc>
          <w:tcPr>
            <w:tcW w:type="dxa" w:w="2880"/>
            <w:shd w:val="clear" w:color="auto" w:fill="2F5D62"/>
          </w:tcPr>
          <w:p>
            <w:r>
              <w:rPr>
                <w:b/>
                <w:color w:val="FFFFFF"/>
                <w:sz w:val="19"/>
              </w:rPr>
              <w:t>Quando</w:t>
            </w:r>
          </w:p>
        </w:tc>
        <w:tc>
          <w:tcPr>
            <w:tcW w:type="dxa" w:w="2880"/>
            <w:shd w:val="clear" w:color="auto" w:fill="2F5D62"/>
          </w:tcPr>
          <w:p>
            <w:r>
              <w:rPr>
                <w:b/>
                <w:color w:val="FFFFFF"/>
                <w:sz w:val="19"/>
              </w:rPr>
              <w:t>Perché</w:t>
            </w:r>
          </w:p>
        </w:tc>
      </w:tr>
      <w:tr>
        <w:tc>
          <w:tcPr>
            <w:tcW w:type="dxa" w:w="2880"/>
          </w:tcPr>
          <w:p>
            <w:r>
              <w:rPr>
                <w:sz w:val="19"/>
              </w:rPr>
              <w:t>Chiusura listino/pacchetti</w:t>
            </w:r>
          </w:p>
        </w:tc>
        <w:tc>
          <w:tcPr>
            <w:tcW w:type="dxa" w:w="2880"/>
          </w:tcPr>
          <w:p>
            <w:r>
              <w:rPr>
                <w:sz w:val="19"/>
              </w:rPr>
              <w:t>feb</w:t>
            </w:r>
          </w:p>
        </w:tc>
        <w:tc>
          <w:tcPr>
            <w:tcW w:type="dxa" w:w="2880"/>
          </w:tcPr>
          <w:p>
            <w:r>
              <w:rPr>
                <w:sz w:val="19"/>
              </w:rPr>
              <w:t>vendite prenotabili prima dell'apertura delle finestre di mercato</w:t>
            </w:r>
          </w:p>
        </w:tc>
      </w:tr>
      <w:tr>
        <w:tc>
          <w:tcPr>
            <w:tcW w:type="dxa" w:w="2880"/>
            <w:shd w:val="clear" w:color="auto" w:fill="EEF2F1"/>
          </w:tcPr>
          <w:p>
            <w:r>
              <w:rPr>
                <w:sz w:val="19"/>
              </w:rPr>
              <w:t>Apertura vendite per mercato</w:t>
            </w:r>
          </w:p>
        </w:tc>
        <w:tc>
          <w:tcPr>
            <w:tcW w:type="dxa" w:w="2880"/>
            <w:shd w:val="clear" w:color="auto" w:fill="EEF2F1"/>
          </w:tcPr>
          <w:p>
            <w:r>
              <w:rPr>
                <w:sz w:val="19"/>
              </w:rPr>
              <w:t>DE feb; IT_estate feb</w:t>
            </w:r>
          </w:p>
        </w:tc>
        <w:tc>
          <w:tcPr>
            <w:tcW w:type="dxa" w:w="2880"/>
            <w:shd w:val="clear" w:color="auto" w:fill="EEF2F1"/>
          </w:tcPr>
          <w:p>
            <w:r>
              <w:rPr>
                <w:sz w:val="19"/>
              </w:rPr>
              <w:t>anticipo derivato dalle finestre di prenotazione</w:t>
            </w:r>
          </w:p>
        </w:tc>
      </w:tr>
      <w:tr>
        <w:tc>
          <w:tcPr>
            <w:tcW w:type="dxa" w:w="2880"/>
          </w:tcPr>
          <w:p>
            <w:r>
              <w:rPr>
                <w:sz w:val="19"/>
              </w:rPr>
              <w:t>Cantiere (setup tecnico/contenuti)</w:t>
            </w:r>
          </w:p>
        </w:tc>
        <w:tc>
          <w:tcPr>
            <w:tcW w:type="dxa" w:w="2880"/>
          </w:tcPr>
          <w:p>
            <w:r>
              <w:rPr>
                <w:sz w:val="19"/>
              </w:rPr>
              <w:t>gen, feb, mar, ott, nov, dic</w:t>
            </w:r>
          </w:p>
        </w:tc>
        <w:tc>
          <w:tcPr>
            <w:tcW w:type="dxa" w:w="2880"/>
          </w:tcPr>
          <w:p>
            <w:r>
              <w:rPr>
                <w:sz w:val="19"/>
              </w:rPr>
              <w:t>mai in stagione: sta nei mesi di chiusura</w:t>
            </w:r>
          </w:p>
        </w:tc>
      </w:tr>
      <w:tr>
        <w:tc>
          <w:tcPr>
            <w:tcW w:type="dxa" w:w="2880"/>
            <w:shd w:val="clear" w:color="auto" w:fill="EEF2F1"/>
          </w:tcPr>
          <w:p>
            <w:r>
              <w:rPr>
                <w:sz w:val="19"/>
              </w:rPr>
              <w:t>Raccolta foto/video</w:t>
            </w:r>
          </w:p>
        </w:tc>
        <w:tc>
          <w:tcPr>
            <w:tcW w:type="dxa" w:w="2880"/>
            <w:shd w:val="clear" w:color="auto" w:fill="EEF2F1"/>
          </w:tcPr>
          <w:p>
            <w:r>
              <w:rPr>
                <w:sz w:val="19"/>
              </w:rPr>
              <w:t>apr, mag, giu, lug, ago, set</w:t>
            </w:r>
          </w:p>
        </w:tc>
        <w:tc>
          <w:tcPr>
            <w:tcW w:type="dxa" w:w="2880"/>
            <w:shd w:val="clear" w:color="auto" w:fill="EEF2F1"/>
          </w:tcPr>
          <w:p>
            <w:r>
              <w:rPr>
                <w:sz w:val="19"/>
              </w:rPr>
              <w:t>a hotel aperto: l'hotel chiuso non si fotografa</w:t>
            </w:r>
          </w:p>
        </w:tc>
      </w:tr>
    </w:tbl>
    <w:p>
      <w:pPr>
        <w:spacing w:after="160"/>
      </w:pPr>
    </w:p>
    <w:p>
      <w:pPr>
        <w:spacing w:before="160" w:after="40"/>
      </w:pPr>
      <w:r>
        <w:rPr>
          <w:b/>
          <w:color w:val="2F5D62"/>
          <w:sz w:val="24"/>
        </w:rPr>
        <w:t>Finestre di campagna per segmento (ancorate al picco reale)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Avvio campagna</w:t>
            </w:r>
          </w:p>
        </w:tc>
        <w:tc>
          <w:tcPr>
            <w:tcW w:type="dxa" w:w="2160"/>
            <w:shd w:val="clear" w:color="auto" w:fill="2F5D62"/>
          </w:tcPr>
          <w:p>
            <w:r>
              <w:rPr>
                <w:b/>
                <w:color w:val="FFFFFF"/>
                <w:sz w:val="19"/>
              </w:rPr>
              <w:t>Mese di picco</w:t>
            </w:r>
          </w:p>
        </w:tc>
        <w:tc>
          <w:tcPr>
            <w:tcW w:type="dxa" w:w="2160"/>
            <w:shd w:val="clear" w:color="auto" w:fill="2F5D62"/>
          </w:tcPr>
          <w:p>
            <w:r>
              <w:rPr>
                <w:b/>
                <w:color w:val="FFFFFF"/>
                <w:sz w:val="19"/>
              </w:rPr>
              <w:t>Anticipo (mesi)</w:t>
            </w:r>
          </w:p>
        </w:tc>
      </w:tr>
      <w:tr>
        <w:tc>
          <w:tcPr>
            <w:tcW w:type="dxa" w:w="2160"/>
          </w:tcPr>
          <w:p>
            <w:r>
              <w:rPr>
                <w:sz w:val="19"/>
              </w:rPr>
              <w:t>Famiglie</w:t>
            </w:r>
          </w:p>
        </w:tc>
        <w:tc>
          <w:tcPr>
            <w:tcW w:type="dxa" w:w="2160"/>
          </w:tcPr>
          <w:p>
            <w:r>
              <w:rPr>
                <w:sz w:val="19"/>
              </w:rPr>
              <w:t>apr</w:t>
            </w:r>
          </w:p>
        </w:tc>
        <w:tc>
          <w:tcPr>
            <w:tcW w:type="dxa" w:w="2160"/>
          </w:tcPr>
          <w:p>
            <w:r>
              <w:rPr>
                <w:sz w:val="19"/>
              </w:rPr>
              <w:t>lug</w:t>
            </w:r>
          </w:p>
        </w:tc>
        <w:tc>
          <w:tcPr>
            <w:tcW w:type="dxa" w:w="2160"/>
          </w:tcPr>
          <w:p>
            <w:r>
              <w:rPr>
                <w:sz w:val="19"/>
              </w:rPr>
              <w:t>3</w:t>
            </w:r>
          </w:p>
        </w:tc>
      </w:tr>
      <w:tr>
        <w:tc>
          <w:tcPr>
            <w:tcW w:type="dxa" w:w="2160"/>
            <w:shd w:val="clear" w:color="auto" w:fill="EEF2F1"/>
          </w:tcPr>
          <w:p>
            <w:r>
              <w:rPr>
                <w:sz w:val="19"/>
              </w:rPr>
              <w:t>Coppie</w:t>
            </w:r>
          </w:p>
        </w:tc>
        <w:tc>
          <w:tcPr>
            <w:tcW w:type="dxa" w:w="2160"/>
            <w:shd w:val="clear" w:color="auto" w:fill="EEF2F1"/>
          </w:tcPr>
          <w:p>
            <w:r>
              <w:rPr>
                <w:sz w:val="19"/>
              </w:rPr>
              <w:t>mag</w:t>
            </w:r>
          </w:p>
        </w:tc>
        <w:tc>
          <w:tcPr>
            <w:tcW w:type="dxa" w:w="2160"/>
            <w:shd w:val="clear" w:color="auto" w:fill="EEF2F1"/>
          </w:tcPr>
          <w:p>
            <w:r>
              <w:rPr>
                <w:sz w:val="19"/>
              </w:rPr>
              <w:t>lug</w:t>
            </w:r>
          </w:p>
        </w:tc>
        <w:tc>
          <w:tcPr>
            <w:tcW w:type="dxa" w:w="2160"/>
            <w:shd w:val="clear" w:color="auto" w:fill="EEF2F1"/>
          </w:tcPr>
          <w:p>
            <w:r>
              <w:rPr>
                <w:sz w:val="19"/>
              </w:rPr>
              <w:t>2</w:t>
            </w:r>
          </w:p>
        </w:tc>
      </w:tr>
      <w:tr>
        <w:tc>
          <w:tcPr>
            <w:tcW w:type="dxa" w:w="2160"/>
          </w:tcPr>
          <w:p>
            <w:r>
              <w:rPr>
                <w:sz w:val="19"/>
              </w:rPr>
              <w:t>DACH</w:t>
            </w:r>
          </w:p>
        </w:tc>
        <w:tc>
          <w:tcPr>
            <w:tcW w:type="dxa" w:w="2160"/>
          </w:tcPr>
          <w:p>
            <w:r>
              <w:rPr>
                <w:sz w:val="19"/>
              </w:rPr>
              <w:t>feb</w:t>
            </w:r>
          </w:p>
        </w:tc>
        <w:tc>
          <w:tcPr>
            <w:tcW w:type="dxa" w:w="2160"/>
          </w:tcPr>
          <w:p>
            <w:r>
              <w:rPr>
                <w:sz w:val="19"/>
              </w:rPr>
              <w:t>lug</w:t>
            </w:r>
          </w:p>
        </w:tc>
        <w:tc>
          <w:tcPr>
            <w:tcW w:type="dxa" w:w="2160"/>
          </w:tcPr>
          <w:p>
            <w:r>
              <w:rPr>
                <w:sz w:val="19"/>
              </w:rPr>
              <w:t>5</w:t>
            </w:r>
          </w:p>
        </w:tc>
      </w:tr>
    </w:tbl>
    <w:p>
      <w:pPr>
        <w:spacing w:after="160"/>
      </w:pPr>
    </w:p>
    <w:p>
      <w:r>
        <w:t>Elaia Garden Hotel è una struttura seasonal: l'anno lavorativo si divide in un periodo di apertura, dove non c'è margine per progetti, e un periodo di chiusura, dove si costruisce tutto ciò che servirà alla stagione successiva. Il mese di apertura effettivo non è dichiarato nei dati disponibili: la roadmap qui presentata assume un'apertura primaverile (indicativamente marzo/aprile) e una chiusura autunnale (ottobre), coerente con il profilo balneare e con la stagionalità 'seasonal' dichiarata — da validare col cliente e riportata come ipotesi in sez. 08. Su questo scheletro si innesta la sequenza già fissata in sez. 03 (verifica parità diretto → Google Business Profile → presidio organico locale): il cantiere tecnico-contenutistico va aperto SOLO nei mesi di chiusura, mai in stagione, mentre l'apertura è il momento per raccogliere il materiale — foto, video, testimonianze — che alimenterà la comunicazione dell'anno successivo.</w:t>
      </w:r>
    </w:p>
    <w:p>
      <w:pPr>
        <w:spacing w:before="160" w:after="40"/>
      </w:pPr>
      <w:r>
        <w:rPr>
          <w:b/>
          <w:color w:val="2F5D62"/>
          <w:sz w:val="24"/>
        </w:rPr>
        <w:t>Obiettivi misurabili</w:t>
      </w:r>
    </w:p>
    <w:p>
      <w:pPr>
        <w:pStyle w:val="ListBullet"/>
      </w:pPr>
      <w:r>
        <w:t>Chiudere il cantiere tecnico (parità diretto, scheda Google Business Profile, prerequisiti AEO) prima della riapertura stagionale, non durante</w:t>
      </w:r>
    </w:p>
    <w:p>
      <w:pPr>
        <w:pStyle w:val="ListBullet"/>
      </w:pPr>
      <w:r>
        <w:t>Aprire le vendite per il mercato italiano e per il mercato tedesco rispettando i rispettivi anticipi di prenotazione (obiettivo di processo: le finestre reali per struttura sono da rilevare dal booking engine, v. sez. 08)</w:t>
      </w:r>
    </w:p>
    <w:p>
      <w:pPr>
        <w:pStyle w:val="ListBullet"/>
      </w:pPr>
      <w:r>
        <w:t>Raccogliere materiale fotografico e testimoniale in stagione, da impiegare nel cantiere invernale successivo (obiettivo di processo, nessuna baseline numerica disponibile)</w:t>
      </w:r>
    </w:p>
    <w:p>
      <w:pPr>
        <w:spacing w:before="160" w:after="40"/>
      </w:pPr>
      <w:r>
        <w:rPr>
          <w:b/>
          <w:color w:val="2F5D62"/>
          <w:sz w:val="24"/>
        </w:rPr>
        <w:t>Azioni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Periodo</w:t>
            </w:r>
          </w:p>
        </w:tc>
        <w:tc>
          <w:tcPr>
            <w:tcW w:type="dxa" w:w="2160"/>
            <w:shd w:val="clear" w:color="auto" w:fill="2F5D62"/>
          </w:tcPr>
          <w:p>
            <w:r>
              <w:rPr>
                <w:b/>
                <w:color w:val="FFFFFF"/>
                <w:sz w:val="19"/>
              </w:rPr>
              <w:t>Fase</w:t>
            </w:r>
          </w:p>
        </w:tc>
        <w:tc>
          <w:tcPr>
            <w:tcW w:type="dxa" w:w="2160"/>
            <w:shd w:val="clear" w:color="auto" w:fill="2F5D62"/>
          </w:tcPr>
          <w:p>
            <w:r>
              <w:rPr>
                <w:b/>
                <w:color w:val="FFFFFF"/>
                <w:sz w:val="19"/>
              </w:rPr>
              <w:t>Azioni chiave</w:t>
            </w:r>
          </w:p>
        </w:tc>
        <w:tc>
          <w:tcPr>
            <w:tcW w:type="dxa" w:w="2160"/>
            <w:shd w:val="clear" w:color="auto" w:fill="2F5D62"/>
          </w:tcPr>
          <w:p>
            <w:r>
              <w:rPr>
                <w:b/>
                <w:color w:val="FFFFFF"/>
                <w:sz w:val="19"/>
              </w:rPr>
              <w:t>Owner</w:t>
            </w:r>
          </w:p>
        </w:tc>
      </w:tr>
      <w:tr>
        <w:tc>
          <w:tcPr>
            <w:tcW w:type="dxa" w:w="2160"/>
          </w:tcPr>
          <w:p>
            <w:r>
              <w:rPr>
                <w:sz w:val="19"/>
              </w:rPr>
              <w:t>Chiusura (autunno-inverno)</w:t>
            </w:r>
          </w:p>
        </w:tc>
        <w:tc>
          <w:tcPr>
            <w:tcW w:type="dxa" w:w="2160"/>
          </w:tcPr>
          <w:p>
            <w:r>
              <w:rPr>
                <w:sz w:val="19"/>
              </w:rPr>
              <w:t>Setup tecnico</w:t>
            </w:r>
          </w:p>
        </w:tc>
        <w:tc>
          <w:tcPr>
            <w:tcW w:type="dxa" w:w="2160"/>
          </w:tcPr>
          <w:p>
            <w:r>
              <w:rPr>
                <w:sz w:val="19"/>
              </w:rPr>
              <w:t>Verifica e correzione della parità tariffaria del diretto sui metasearch; completamento e ottimizzazione della scheda Google Business Profile; messa a terra dei prerequisiti AEO (dati strutturati Hotel/LodgingBusiness, FAQ su camere comunicanti e famiglie, coerenza NAP su sito/GBP/OTA); verifica e attivazione dei contatti diretti (telefono/email/WhatsApp) sul sito</w:t>
            </w:r>
          </w:p>
        </w:tc>
        <w:tc>
          <w:tcPr>
            <w:tcW w:type="dxa" w:w="2160"/>
          </w:tcPr>
          <w:p>
            <w:r>
              <w:rPr>
                <w:sz w:val="19"/>
              </w:rPr>
              <w:t>Direzione + agenzia digitale</w:t>
            </w:r>
          </w:p>
        </w:tc>
      </w:tr>
      <w:tr>
        <w:tc>
          <w:tcPr>
            <w:tcW w:type="dxa" w:w="2160"/>
            <w:shd w:val="clear" w:color="auto" w:fill="EEF2F1"/>
          </w:tcPr>
          <w:p>
            <w:r>
              <w:rPr>
                <w:sz w:val="19"/>
              </w:rPr>
              <w:t>Chiusura (inverno, prima della riapertura)</w:t>
            </w:r>
          </w:p>
        </w:tc>
        <w:tc>
          <w:tcPr>
            <w:tcW w:type="dxa" w:w="2160"/>
            <w:shd w:val="clear" w:color="auto" w:fill="EEF2F1"/>
          </w:tcPr>
          <w:p>
            <w:r>
              <w:rPr>
                <w:sz w:val="19"/>
              </w:rPr>
              <w:t>Comunicazione ai clienti abituali</w:t>
            </w:r>
          </w:p>
        </w:tc>
        <w:tc>
          <w:tcPr>
            <w:tcW w:type="dxa" w:w="2160"/>
            <w:shd w:val="clear" w:color="auto" w:fill="EEF2F1"/>
          </w:tcPr>
          <w:p>
            <w:r>
              <w:rPr>
                <w:sz w:val="19"/>
              </w:rPr>
              <w:t>Invio della newsletter di riapertura con data di apertura ben visibile e offerta di anticipo riservata ai clienti già acquisiti; avvio del pacchetto 'ospite fedele' con priorità sulle date più richieste</w:t>
            </w:r>
          </w:p>
        </w:tc>
        <w:tc>
          <w:tcPr>
            <w:tcW w:type="dxa" w:w="2160"/>
            <w:shd w:val="clear" w:color="auto" w:fill="EEF2F1"/>
          </w:tcPr>
          <w:p>
            <w:r>
              <w:rPr>
                <w:sz w:val="19"/>
              </w:rPr>
              <w:t>Direzione + CRM</w:t>
            </w:r>
          </w:p>
        </w:tc>
      </w:tr>
      <w:tr>
        <w:tc>
          <w:tcPr>
            <w:tcW w:type="dxa" w:w="2160"/>
          </w:tcPr>
          <w:p>
            <w:r>
              <w:rPr>
                <w:sz w:val="19"/>
              </w:rPr>
              <w:t>Chiusura → apertura (a ridosso della riapertura)</w:t>
            </w:r>
          </w:p>
        </w:tc>
        <w:tc>
          <w:tcPr>
            <w:tcW w:type="dxa" w:w="2160"/>
          </w:tcPr>
          <w:p>
            <w:r>
              <w:rPr>
                <w:sz w:val="19"/>
              </w:rPr>
              <w:t>Apertura vendite per mercato</w:t>
            </w:r>
          </w:p>
        </w:tc>
        <w:tc>
          <w:tcPr>
            <w:tcW w:type="dxa" w:w="2160"/>
          </w:tcPr>
          <w:p>
            <w:r>
              <w:rPr>
                <w:sz w:val="19"/>
              </w:rPr>
              <w:t>Apertura del listino e disponibilità per il mercato italiano; apertura anticipata per il mercato tedesco, coerente con il suo anticipo di prenotazione più lungo; presidio del canale HolidayCheck per il segmento DACH</w:t>
            </w:r>
          </w:p>
        </w:tc>
        <w:tc>
          <w:tcPr>
            <w:tcW w:type="dxa" w:w="2160"/>
          </w:tcPr>
          <w:p>
            <w:r>
              <w:rPr>
                <w:sz w:val="19"/>
              </w:rPr>
              <w:t>Direzione commerciale</w:t>
            </w:r>
          </w:p>
        </w:tc>
      </w:tr>
      <w:tr>
        <w:tc>
          <w:tcPr>
            <w:tcW w:type="dxa" w:w="2160"/>
            <w:shd w:val="clear" w:color="auto" w:fill="EEF2F1"/>
          </w:tcPr>
          <w:p>
            <w:r>
              <w:rPr>
                <w:sz w:val="19"/>
              </w:rPr>
              <w:t>Apertura (bassa stagione/spalla)</w:t>
            </w:r>
          </w:p>
        </w:tc>
        <w:tc>
          <w:tcPr>
            <w:tcW w:type="dxa" w:w="2160"/>
            <w:shd w:val="clear" w:color="auto" w:fill="EEF2F1"/>
          </w:tcPr>
          <w:p>
            <w:r>
              <w:rPr>
                <w:sz w:val="19"/>
              </w:rPr>
              <w:t>Lancio e raccolta materiale</w:t>
            </w:r>
          </w:p>
        </w:tc>
        <w:tc>
          <w:tcPr>
            <w:tcW w:type="dxa" w:w="2160"/>
            <w:shd w:val="clear" w:color="auto" w:fill="EEF2F1"/>
          </w:tcPr>
          <w:p>
            <w:r>
              <w:rPr>
                <w:sz w:val="19"/>
              </w:rPr>
              <w:t>Attivazione delle campagne segmentate (coppie/famiglie, v. sez. 02) sui canali della matrice (v. sez. 03); raccolta sistematica di foto, video e recensioni post-soggiorno con prompt mirati al lessico famiglia/coppia, da impiegare nel cantiere successivo</w:t>
            </w:r>
          </w:p>
        </w:tc>
        <w:tc>
          <w:tcPr>
            <w:tcW w:type="dxa" w:w="2160"/>
            <w:shd w:val="clear" w:color="auto" w:fill="EEF2F1"/>
          </w:tcPr>
          <w:p>
            <w:r>
              <w:rPr>
                <w:sz w:val="19"/>
              </w:rPr>
              <w:t>Marketing + reception</w:t>
            </w:r>
          </w:p>
        </w:tc>
      </w:tr>
      <w:tr>
        <w:tc>
          <w:tcPr>
            <w:tcW w:type="dxa" w:w="2160"/>
          </w:tcPr>
          <w:p>
            <w:r>
              <w:rPr>
                <w:sz w:val="19"/>
              </w:rPr>
              <w:t>Piena stagione (mesi centrali)</w:t>
            </w:r>
          </w:p>
        </w:tc>
        <w:tc>
          <w:tcPr>
            <w:tcW w:type="dxa" w:w="2160"/>
          </w:tcPr>
          <w:p>
            <w:r>
              <w:rPr>
                <w:sz w:val="19"/>
              </w:rPr>
              <w:t>Presidio leggero e vicinanza alle date</w:t>
            </w:r>
          </w:p>
        </w:tc>
        <w:tc>
          <w:tcPr>
            <w:tcW w:type="dxa" w:w="2160"/>
          </w:tcPr>
          <w:p>
            <w:r>
              <w:rPr>
                <w:sz w:val="19"/>
              </w:rPr>
              <w:t>Gestione reattiva delle recensioni e dei contatti diretti; comunicazione 'da campo' sui social; nessun progetto tecnico o contenutistico strutturale in questa finestra; copertura ravvicinata della domanda residua vicino alle date</w:t>
            </w:r>
          </w:p>
        </w:tc>
        <w:tc>
          <w:tcPr>
            <w:tcW w:type="dxa" w:w="2160"/>
          </w:tcPr>
          <w:p>
            <w:r>
              <w:rPr>
                <w:sz w:val="19"/>
              </w:rPr>
              <w:t>Direzione + reception</w:t>
            </w:r>
          </w:p>
        </w:tc>
      </w:tr>
      <w:tr>
        <w:tc>
          <w:tcPr>
            <w:tcW w:type="dxa" w:w="2160"/>
            <w:shd w:val="clear" w:color="auto" w:fill="EEF2F1"/>
          </w:tcPr>
          <w:p>
            <w:r>
              <w:rPr>
                <w:sz w:val="19"/>
              </w:rPr>
              <w:t>Fine stagione → chiusura</w:t>
            </w:r>
          </w:p>
        </w:tc>
        <w:tc>
          <w:tcPr>
            <w:tcW w:type="dxa" w:w="2160"/>
            <w:shd w:val="clear" w:color="auto" w:fill="EEF2F1"/>
          </w:tcPr>
          <w:p>
            <w:r>
              <w:rPr>
                <w:sz w:val="19"/>
              </w:rPr>
              <w:t>Ottimizzazione e chiusura del ciclo</w:t>
            </w:r>
          </w:p>
        </w:tc>
        <w:tc>
          <w:tcPr>
            <w:tcW w:type="dxa" w:w="2160"/>
            <w:shd w:val="clear" w:color="auto" w:fill="EEF2F1"/>
          </w:tcPr>
          <w:p>
            <w:r>
              <w:rPr>
                <w:sz w:val="19"/>
              </w:rPr>
              <w:t>Analisi dei risultati della stagione (visibilità organica, esiti della verifica parità, recensioni raccolte); pianificazione del cantiere della chiusura successiva sulla base di quanto osservato</w:t>
            </w:r>
          </w:p>
        </w:tc>
        <w:tc>
          <w:tcPr>
            <w:tcW w:type="dxa" w:w="2160"/>
            <w:shd w:val="clear" w:color="auto" w:fill="EEF2F1"/>
          </w:tcPr>
          <w:p>
            <w:r>
              <w:rPr>
                <w:sz w:val="19"/>
              </w:rPr>
              <w:t>Direzione + agenzia digitale</w:t>
            </w:r>
          </w:p>
        </w:tc>
      </w:tr>
    </w:tbl>
    <w:p>
      <w:pPr>
        <w:spacing w:after="160"/>
      </w:pPr>
    </w:p>
    <w:p>
      <w:r>
        <w:t>Il cantiere di chiusura non è un'attività generica: precede sempre l'apertura delle vendite per mercato, perché listino, pacchetti e disponibilità devono essere prenotabili prima che la domanda si attivi, non a ridosso dell'apertura della struttura. Il mercato tedesco, per il quale il segnale di sotto-sviluppo è già stato rilevato in sez. 03, richiede un'apertura commerciale anticipata rispetto a quella italiana: la sequenza corretta è cantiere tecnico completo, poi comunicazione ai clienti abituali, poi apertura vendite per mercato secondo l'anticipo proprio di ciascuno. Sovrapporre queste fasi, o peggio invertirle, vanifica il lavoro di parità e di visibilità organica costruito nei mesi di chiusura.</w:t>
      </w:r>
    </w:p>
    <w:p>
      <w:pPr>
        <w:spacing w:before="160" w:after="40"/>
      </w:pPr>
      <w:r>
        <w:rPr>
          <w:b/>
          <w:color w:val="2F5D62"/>
          <w:sz w:val="24"/>
        </w:rPr>
        <w:t>KPI</w:t>
      </w:r>
    </w:p>
    <w:p>
      <w:pPr>
        <w:pStyle w:val="ListBullet"/>
      </w:pPr>
      <w:r>
        <w:t>I KPI numerici di controllo per questa roadmap sono raccolti in sez. 06; qui si segnala solo il rispetto della sequenza (cantiere chiuso prima dell'apertura vendite, apertura vendite prima della piena stagione) come indicatore di processo</w:t>
      </w:r>
    </w:p>
    <w:p>
      <w:pPr>
        <w:spacing w:before="160" w:after="40"/>
      </w:pPr>
      <w:r>
        <w:rPr>
          <w:b/>
          <w:color w:val="2F5D62"/>
          <w:sz w:val="24"/>
        </w:rPr>
        <w:t>Note esecutive</w:t>
      </w:r>
    </w:p>
    <w:p>
      <w:pPr>
        <w:pStyle w:val="ListBullet"/>
      </w:pPr>
      <w:r>
        <w:t>I mesi di apertura/chiusura usati in questa roadmap sono un'ipotesi di lavoro (profilo seasonal dichiarato, mesi non confermati dal cliente): da validare e, se necessario, ricalibrare in sez. 08</w:t>
      </w:r>
    </w:p>
    <w:p>
      <w:pPr>
        <w:pStyle w:val="ListBullet"/>
      </w:pPr>
      <w:r>
        <w:t>Le finestre di anticipo prenotazione per mercato (Italia, Germania) sono lette come ordine di grandezza qualitativo dal profilo del segmento, non come dato di prenotazione rilevato dalla struttura: la finestra reale va misurata dal booking engine</w:t>
      </w:r>
    </w:p>
    <w:p>
      <w:pPr>
        <w:pStyle w:val="ListBullet"/>
      </w:pPr>
      <w:r>
        <w:t>Nessuna attività di cantiere tecnico o contenutistico va programmata nei mesi centrali della stagione: è il vincolo non negoziabile di questa roadmap</w:t>
      </w:r>
    </w:p>
    <w:p>
      <w:pPr>
        <w:pStyle w:val="ListBullet"/>
      </w:pPr>
      <w:r>
        <w:t>Il calendario di eventi locali (fiere, manifestazioni della destinazione) non è disponibile nei dati e non è stato assunto: è un input da raccogliere separatamente prima di aggiungere picchi di domanda legati a eventi specifici</w:t>
      </w:r>
    </w:p>
    <w:p>
      <w:r>
        <w:br w:type="page"/>
      </w:r>
    </w:p>
    <w:p>
      <w:pPr>
        <w:spacing w:after="0"/>
      </w:pPr>
      <w:r>
        <w:rPr>
          <w:b/>
          <w:color w:val="2F5D62"/>
          <w:sz w:val="18"/>
        </w:rPr>
        <w:t>SEZIONE 06</w:t>
      </w:r>
    </w:p>
    <w:p>
      <w:pPr>
        <w:spacing w:after="200"/>
        <w:pBdr>
          <w:bottom w:val="single" w:sz="18" w:space="6" w:color="2F5D62"/>
        </w:pBdr>
      </w:pPr>
      <w:r>
        <w:rPr>
          <w:b/>
          <w:color w:val="1A1A2E"/>
          <w:sz w:val="40"/>
        </w:rPr>
        <w:t>Misurazione &amp; governance</w:t>
      </w:r>
    </w:p>
    <w:p>
      <w:pPr>
        <w:spacing w:before="160" w:after="40"/>
      </w:pPr>
      <w:r>
        <w:rPr>
          <w:b/>
          <w:color w:val="2F5D62"/>
          <w:sz w:val="24"/>
        </w:rPr>
        <w:t>KPI nord (baseline → target o obiettivo di processo)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w:t>
            </w:r>
          </w:p>
        </w:tc>
        <w:tc>
          <w:tcPr>
            <w:tcW w:type="dxa" w:w="2160"/>
            <w:shd w:val="clear" w:color="auto" w:fill="2F5D62"/>
          </w:tcPr>
          <w:p>
            <w:r>
              <w:rPr>
                <w:b/>
                <w:color w:val="FFFFFF"/>
                <w:sz w:val="19"/>
              </w:rPr>
              <w:t>Obiettivo di processo</w:t>
            </w:r>
          </w:p>
        </w:tc>
      </w:tr>
      <w:tr>
        <w:tc>
          <w:tcPr>
            <w:tcW w:type="dxa" w:w="2160"/>
          </w:tcPr>
          <w:p>
            <w:r>
              <w:rPr>
                <w:sz w:val="19"/>
              </w:rPr>
              <w:t>Volume recensioni (tutte le piattaforme)</w:t>
            </w:r>
          </w:p>
        </w:tc>
        <w:tc>
          <w:tcPr>
            <w:tcW w:type="dxa" w:w="2160"/>
          </w:tcPr>
          <w:p>
            <w:r>
              <w:rPr>
                <w:sz w:val="19"/>
              </w:rPr>
              <w:t>1690</w:t>
            </w:r>
          </w:p>
        </w:tc>
        <w:tc>
          <w:tcPr>
            <w:tcW w:type="dxa" w:w="2160"/>
          </w:tcPr>
          <w:p>
            <w:r>
              <w:rPr>
                <w:sz w:val="19"/>
              </w:rPr>
              <w:t>1739</w:t>
            </w:r>
          </w:p>
        </w:tc>
        <w:tc>
          <w:tcPr>
            <w:tcW w:type="dxa" w:w="2160"/>
          </w:tcPr>
          <w:p>
            <w:r>
              <w:rPr>
                <w:sz w:val="19"/>
              </w:rPr>
              <w:t>—</w:t>
            </w:r>
          </w:p>
        </w:tc>
      </w:tr>
      <w:tr>
        <w:tc>
          <w:tcPr>
            <w:tcW w:type="dxa" w:w="2160"/>
            <w:shd w:val="clear" w:color="auto" w:fill="EEF2F1"/>
          </w:tcPr>
          <w:p>
            <w:r>
              <w:rPr>
                <w:sz w:val="19"/>
              </w:rPr>
              <w:t>Quota di prenotazione diretta</w:t>
            </w:r>
          </w:p>
        </w:tc>
        <w:tc>
          <w:tcPr>
            <w:tcW w:type="dxa" w:w="2160"/>
            <w:shd w:val="clear" w:color="auto" w:fill="EEF2F1"/>
          </w:tcPr>
          <w:p>
            <w:r>
              <w:rPr>
                <w:sz w:val="19"/>
              </w:rPr>
              <w:t>—</w:t>
            </w:r>
          </w:p>
        </w:tc>
        <w:tc>
          <w:tcPr>
            <w:tcW w:type="dxa" w:w="2160"/>
            <w:shd w:val="clear" w:color="auto" w:fill="EEF2F1"/>
          </w:tcPr>
          <w:p>
            <w:r>
              <w:rPr>
                <w:sz w:val="19"/>
              </w:rPr>
              <w:t>—</w:t>
            </w:r>
          </w:p>
        </w:tc>
        <w:tc>
          <w:tcPr>
            <w:tcW w:type="dxa" w:w="2160"/>
            <w:shd w:val="clear" w:color="auto" w:fill="EEF2F1"/>
          </w:tcPr>
          <w:p>
            <w:r>
              <w:rPr>
                <w:sz w:val="19"/>
              </w:rPr>
              <w:t>Quota diretta reale non tracciata nella diagnosi: misurare la baseline (booking engine/PMS) prima di fissare un obiettivo numerico.</w:t>
            </w:r>
          </w:p>
        </w:tc>
      </w:tr>
      <w:tr>
        <w:tc>
          <w:tcPr>
            <w:tcW w:type="dxa" w:w="2160"/>
          </w:tcPr>
          <w:p>
            <w:r>
              <w:rPr>
                <w:sz w:val="19"/>
              </w:rPr>
              <w:t>Rating aggregato</w:t>
            </w:r>
          </w:p>
        </w:tc>
        <w:tc>
          <w:tcPr>
            <w:tcW w:type="dxa" w:w="2160"/>
          </w:tcPr>
          <w:p>
            <w:r>
              <w:rPr>
                <w:sz w:val="19"/>
              </w:rPr>
              <w:t>4.36</w:t>
            </w:r>
          </w:p>
        </w:tc>
        <w:tc>
          <w:tcPr>
            <w:tcW w:type="dxa" w:w="2160"/>
          </w:tcPr>
          <w:p>
            <w:r>
              <w:rPr>
                <w:sz w:val="19"/>
              </w:rPr>
              <w:t>—</w:t>
            </w:r>
          </w:p>
        </w:tc>
        <w:tc>
          <w:tcPr>
            <w:tcW w:type="dxa" w:w="2160"/>
          </w:tcPr>
          <w:p>
            <w:r>
              <w:rPr>
                <w:sz w:val="19"/>
              </w:rPr>
              <w:t>KPI di score lento (media cumulata su centinaia di recensioni): non calare sotto la baseline, orizzonti lunghi, nessun salto in 2-3 mesi.</w:t>
            </w:r>
          </w:p>
        </w:tc>
      </w:tr>
    </w:tbl>
    <w:p>
      <w:pPr>
        <w:spacing w:after="160"/>
      </w:pPr>
    </w:p>
    <w:p>
      <w:r>
        <w:t>Questa sezione fissa il cruscotto unico di controllo del piano: non un elenco di intenzioni ma i punti di misura che, mese per mese, dicono se le azioni delle sezioni precedenti stanno spostando la distribuzione verso il diretto e la visibilità verso la domanda reale. Dove la baseline esiste già, il KPI ha un target; dove manca, resta un obiettivo di processo — misurare prima di promettere un numero. La cadenza di verifica segue il calendario stagionale già stabilito in roadmap: revisione piena in chiusura e in apertura, controllo leggero durante l'apertura, quando la struttura ha priorità operative diverse.</w:t>
      </w:r>
    </w:p>
    <w:p>
      <w:pPr>
        <w:spacing w:before="160" w:after="40"/>
      </w:pPr>
      <w:r>
        <w:rPr>
          <w:b/>
          <w:color w:val="2F5D62"/>
          <w:sz w:val="24"/>
        </w:rPr>
        <w:t>Obiettivi misurabili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 / Obiettivo</w:t>
            </w:r>
          </w:p>
        </w:tc>
        <w:tc>
          <w:tcPr>
            <w:tcW w:type="dxa" w:w="2160"/>
            <w:shd w:val="clear" w:color="auto" w:fill="2F5D62"/>
          </w:tcPr>
          <w:p>
            <w:r>
              <w:rPr>
                <w:b/>
                <w:color w:val="FFFFFF"/>
                <w:sz w:val="19"/>
              </w:rPr>
              <w:t>Orizzonte</w:t>
            </w:r>
          </w:p>
        </w:tc>
      </w:tr>
      <w:tr>
        <w:tc>
          <w:tcPr>
            <w:tcW w:type="dxa" w:w="2160"/>
          </w:tcPr>
          <w:p>
            <w:r>
              <w:rPr>
                <w:sz w:val="19"/>
              </w:rPr>
              <w:t>Recensioni TripAdvisor (volume)</w:t>
            </w:r>
          </w:p>
        </w:tc>
        <w:tc>
          <w:tcPr>
            <w:tcW w:type="dxa" w:w="2160"/>
          </w:tcPr>
          <w:p>
            <w:r>
              <w:rPr>
                <w:sz w:val="19"/>
              </w:rPr>
              <w:t>271</w:t>
            </w:r>
          </w:p>
        </w:tc>
        <w:tc>
          <w:tcPr>
            <w:tcW w:type="dxa" w:w="2160"/>
          </w:tcPr>
          <w:p>
            <w:r>
              <w:rPr>
                <w:sz w:val="19"/>
              </w:rPr>
              <w:t>Crescita da concordare col cliente (v. Assunzioni)</w:t>
            </w:r>
          </w:p>
        </w:tc>
        <w:tc>
          <w:tcPr>
            <w:tcW w:type="dxa" w:w="2160"/>
          </w:tcPr>
          <w:p>
            <w:r>
              <w:rPr>
                <w:sz w:val="19"/>
              </w:rPr>
              <w:t>12 mesi</w:t>
            </w:r>
          </w:p>
        </w:tc>
      </w:tr>
      <w:tr>
        <w:tc>
          <w:tcPr>
            <w:tcW w:type="dxa" w:w="2160"/>
            <w:shd w:val="clear" w:color="auto" w:fill="EEF2F1"/>
          </w:tcPr>
          <w:p>
            <w:r>
              <w:rPr>
                <w:sz w:val="19"/>
              </w:rPr>
              <w:t>Rating aggregato multi-piattaforma</w:t>
            </w:r>
          </w:p>
        </w:tc>
        <w:tc>
          <w:tcPr>
            <w:tcW w:type="dxa" w:w="2160"/>
            <w:shd w:val="clear" w:color="auto" w:fill="EEF2F1"/>
          </w:tcPr>
          <w:p>
            <w:r>
              <w:rPr>
                <w:sz w:val="19"/>
              </w:rPr>
              <w:t>4,36/5</w:t>
            </w:r>
          </w:p>
        </w:tc>
        <w:tc>
          <w:tcPr>
            <w:tcW w:type="dxa" w:w="2160"/>
            <w:shd w:val="clear" w:color="auto" w:fill="EEF2F1"/>
          </w:tcPr>
          <w:p>
            <w:r>
              <w:rPr>
                <w:sz w:val="19"/>
              </w:rPr>
              <w:t>Nessun target numerico: KPI di score lento, monitorare la direzione</w:t>
            </w:r>
          </w:p>
        </w:tc>
        <w:tc>
          <w:tcPr>
            <w:tcW w:type="dxa" w:w="2160"/>
            <w:shd w:val="clear" w:color="auto" w:fill="EEF2F1"/>
          </w:tcPr>
          <w:p>
            <w:r>
              <w:rPr>
                <w:sz w:val="19"/>
              </w:rPr>
              <w:t>12-18 mesi</w:t>
            </w:r>
          </w:p>
        </w:tc>
      </w:tr>
      <w:tr>
        <w:tc>
          <w:tcPr>
            <w:tcW w:type="dxa" w:w="2160"/>
          </w:tcPr>
          <w:p>
            <w:r>
              <w:rPr>
                <w:sz w:val="19"/>
              </w:rPr>
              <w:t>Copertura keyword in top posizioni (su 40 rilevanti)</w:t>
            </w:r>
          </w:p>
        </w:tc>
        <w:tc>
          <w:tcPr>
            <w:tcW w:type="dxa" w:w="2160"/>
          </w:tcPr>
          <w:p>
            <w:r>
              <w:rPr>
                <w:sz w:val="19"/>
              </w:rPr>
              <w:t>5 presidiate</w:t>
            </w:r>
          </w:p>
        </w:tc>
        <w:tc>
          <w:tcPr>
            <w:tcW w:type="dxa" w:w="2160"/>
          </w:tcPr>
          <w:p>
            <w:r>
              <w:rPr>
                <w:sz w:val="19"/>
              </w:rPr>
              <w:t>Obiettivo di processo: ampliare la copertura, v. sez. 03</w:t>
            </w:r>
          </w:p>
        </w:tc>
        <w:tc>
          <w:tcPr>
            <w:tcW w:type="dxa" w:w="2160"/>
          </w:tcPr>
          <w:p>
            <w:r>
              <w:rPr>
                <w:sz w:val="19"/>
              </w:rPr>
              <w:t>12 mesi</w:t>
            </w:r>
          </w:p>
        </w:tc>
      </w:tr>
      <w:tr>
        <w:tc>
          <w:tcPr>
            <w:tcW w:type="dxa" w:w="2160"/>
            <w:shd w:val="clear" w:color="auto" w:fill="EEF2F1"/>
          </w:tcPr>
          <w:p>
            <w:r>
              <w:rPr>
                <w:sz w:val="19"/>
              </w:rPr>
              <w:t>Presenza e parità tariffaria diretto su metasearch</w:t>
            </w:r>
          </w:p>
        </w:tc>
        <w:tc>
          <w:tcPr>
            <w:tcW w:type="dxa" w:w="2160"/>
            <w:shd w:val="clear" w:color="auto" w:fill="EEF2F1"/>
          </w:tcPr>
          <w:p>
            <w:r>
              <w:rPr>
                <w:sz w:val="19"/>
              </w:rPr>
              <w:t>Non verificata</w:t>
            </w:r>
          </w:p>
        </w:tc>
        <w:tc>
          <w:tcPr>
            <w:tcW w:type="dxa" w:w="2160"/>
            <w:shd w:val="clear" w:color="auto" w:fill="EEF2F1"/>
          </w:tcPr>
          <w:p>
            <w:r>
              <w:rPr>
                <w:sz w:val="19"/>
              </w:rPr>
              <w:t>Obiettivo di processo: verifica e correzione entro l'apertura cantiere</w:t>
            </w:r>
          </w:p>
        </w:tc>
        <w:tc>
          <w:tcPr>
            <w:tcW w:type="dxa" w:w="2160"/>
            <w:shd w:val="clear" w:color="auto" w:fill="EEF2F1"/>
          </w:tcPr>
          <w:p>
            <w:r>
              <w:rPr>
                <w:sz w:val="19"/>
              </w:rPr>
              <w:t>Chiusura → riapertura</w:t>
            </w:r>
          </w:p>
        </w:tc>
      </w:tr>
      <w:tr>
        <w:tc>
          <w:tcPr>
            <w:tcW w:type="dxa" w:w="2160"/>
          </w:tcPr>
          <w:p>
            <w:r>
              <w:rPr>
                <w:sz w:val="19"/>
              </w:rPr>
              <w:t>Quota booking diretto vs OTA</w:t>
            </w:r>
          </w:p>
        </w:tc>
        <w:tc>
          <w:tcPr>
            <w:tcW w:type="dxa" w:w="2160"/>
          </w:tcPr>
          <w:p>
            <w:r>
              <w:rPr>
                <w:sz w:val="19"/>
              </w:rPr>
              <w:t>Non disponibile</w:t>
            </w:r>
          </w:p>
        </w:tc>
        <w:tc>
          <w:tcPr>
            <w:tcW w:type="dxa" w:w="2160"/>
          </w:tcPr>
          <w:p>
            <w:r>
              <w:rPr>
                <w:sz w:val="19"/>
              </w:rPr>
              <w:t>Obiettivo di processo: impostare il tracciamento, poi fissare un target</w:t>
            </w:r>
          </w:p>
        </w:tc>
        <w:tc>
          <w:tcPr>
            <w:tcW w:type="dxa" w:w="2160"/>
          </w:tcPr>
          <w:p>
            <w:r>
              <w:rPr>
                <w:sz w:val="19"/>
              </w:rPr>
              <w:t>Da definire dopo rilevazione</w:t>
            </w:r>
          </w:p>
        </w:tc>
      </w:tr>
      <w:tr>
        <w:tc>
          <w:tcPr>
            <w:tcW w:type="dxa" w:w="2160"/>
            <w:shd w:val="clear" w:color="auto" w:fill="EEF2F1"/>
          </w:tcPr>
          <w:p>
            <w:r>
              <w:rPr>
                <w:sz w:val="19"/>
              </w:rPr>
              <w:t>Visibilità su assistenti AI (segmenti Coppie/Famiglie)</w:t>
            </w:r>
          </w:p>
        </w:tc>
        <w:tc>
          <w:tcPr>
            <w:tcW w:type="dxa" w:w="2160"/>
            <w:shd w:val="clear" w:color="auto" w:fill="EEF2F1"/>
          </w:tcPr>
          <w:p>
            <w:r>
              <w:rPr>
                <w:sz w:val="19"/>
              </w:rPr>
              <w:t>Assente nelle risposte misurate (audit parziale)</w:t>
            </w:r>
          </w:p>
        </w:tc>
        <w:tc>
          <w:tcPr>
            <w:tcW w:type="dxa" w:w="2160"/>
            <w:shd w:val="clear" w:color="auto" w:fill="EEF2F1"/>
          </w:tcPr>
          <w:p>
            <w:r>
              <w:rPr>
                <w:sz w:val="19"/>
              </w:rPr>
              <w:t>Obiettivo di processo: ripetere l'audit su tutti gli assistenti e presidiare i prerequisiti</w:t>
            </w:r>
          </w:p>
        </w:tc>
        <w:tc>
          <w:tcPr>
            <w:tcW w:type="dxa" w:w="2160"/>
            <w:shd w:val="clear" w:color="auto" w:fill="EEF2F1"/>
          </w:tcPr>
          <w:p>
            <w:r>
              <w:rPr>
                <w:sz w:val="19"/>
              </w:rPr>
              <w:t>Entro la riapertura</w:t>
            </w:r>
          </w:p>
        </w:tc>
      </w:tr>
    </w:tbl>
    <w:p>
      <w:pPr>
        <w:spacing w:after="160"/>
      </w:pPr>
    </w:p>
    <w:p>
      <w:pPr>
        <w:spacing w:before="160" w:after="40"/>
      </w:pPr>
      <w:r>
        <w:rPr>
          <w:b/>
          <w:color w:val="2F5D62"/>
          <w:sz w:val="24"/>
        </w:rPr>
        <w:t>Azioni</w:t>
      </w:r>
    </w:p>
    <w:p>
      <w:r>
        <w:t>Il volume di recensioni TripAdvisor è oggi di 271: una base sufficiente a fissare un obiettivo di crescita, ma solo se concordato con la proprietà su un orizzonte realistico e non come cifra imposta dall'agenzia. Va quindi aperto un confronto diretto con il cliente per stabilire un incremento percentuale sostenibile nell'arco dei prossimi 12 mesi, da inserire come target formale in questo cruscotto una volta condiviso; nel frattempo la sollecitazione post-soggiorno resta un'azione di processo, non un numero da anticipare.</w:t>
      </w:r>
    </w:p>
    <w:p>
      <w:r>
        <w:t>Il rating aggregato di 4,36/5 è una media cumulata su centinaia di recensioni: si muove lentamente per definizione, quindi nessuna azione di comunicazione o di prodotto lo sposterà in modo visibile prima di diversi mesi. La governance corretta è monitorarne la direzione trimestre su trimestre, non fissare una soglia di arrivo a breve termine; qualunque promessa di miglioramento rapido del punteggio sarebbe non credibile e va evitata anche nei materiali interni.</w:t>
      </w:r>
    </w:p>
    <w:p>
      <w:r>
        <w:t>La copertura organica oggi presidia solo una piccola parte della domanda pertinente rilevata: l'azione SEO descritta in sez. 03 produce risultati di posizionamento con una latenza tipica di alcuni mesi. Il KPI qui non è quindi il posizionamento assoluto entro la prossima stagione, ma l'ampliamento progressivo del numero di keyword presidiate rispetto alle 5 attuali, verificato con cadenza trimestrale sullo stesso set di query già mappato, senza introdurre nuove metriche di traffico non ancora disponibili.</w:t>
      </w:r>
    </w:p>
    <w:p>
      <w:r>
        <w:t>La parità tariffaria del diretto sui metasearch non è oggi verificata: finché resta un'incognita, ogni euro investito in campagne a supporto della prenotazione diretta rischia di essere vanificato da un prezzo non allineato altrove. L'azione di controllo è quindi una verifica puntuale da completare nella finestra di cantiere già individuata in roadmap, con esito binario (parità raggiunta / da correggere) da registrare in questo cruscotto prima di sbloccare il budget media legato al diretto.</w:t>
      </w:r>
    </w:p>
    <w:p>
      <w:r>
        <w:t>La quota di prenotazioni dirette rispetto alle OTA non è oggi misurabile con i dati disponibili: non esiste un valore di riferimento univoco per il settore, perché dipende da notorietà, stagionalità e capacità di presidio continuativo, quindi non va fissato un target preso da un benchmark esterno. L'azione prioritaria è impostare un tracciamento affidabile lato booking engine e OTA nella prima finestra utile, in modo da avere una baseline reale su cui costruire, nella prossima revisione del piano, un obiettivo specifico per questa struttura.</w:t>
      </w:r>
    </w:p>
    <w:p>
      <w:r>
        <w:t>L'audit sulla visibilità negli assistenti conversazionali è oggi parziale: solo un assistente ha risposto in modo misurabile e la struttura non compare mai per i segmenti coppie e famiglie. Prima di considerare questo un problema strutturale servono due cose in sequenza: completare l'audit su tutti gli assistenti con credenziali valide, e presidiare nel frattempo i prerequisiti di citabilità già indicati in sez. 02-03 (coerenza dei dati struttura, contenuti fattuali, recensioni con lessico di segmento). Il KPI di governance è quindi la ripetizione dell'audit a fine cantiere, non un punteggio di visibilità oggi non misurabile su due terzi degli assistenti.</w:t>
      </w:r>
    </w:p>
    <w:p>
      <w:r>
        <w:br w:type="page"/>
      </w:r>
    </w:p>
    <w:p>
      <w:pPr>
        <w:spacing w:after="0"/>
      </w:pPr>
      <w:r>
        <w:rPr>
          <w:b/>
          <w:color w:val="2F5D62"/>
          <w:sz w:val="18"/>
        </w:rPr>
        <w:t>SEZIONE 07</w:t>
      </w:r>
    </w:p>
    <w:p>
      <w:pPr>
        <w:spacing w:after="200"/>
        <w:pBdr>
          <w:bottom w:val="single" w:sz="18" w:space="6" w:color="2F5D62"/>
        </w:pBdr>
      </w:pPr>
      <w:r>
        <w:rPr>
          <w:b/>
          <w:color w:val="1A1A2E"/>
          <w:sz w:val="40"/>
        </w:rPr>
        <w:t>Budget (ripartizione %)</w:t>
      </w:r>
    </w:p>
    <w:p>
      <w:pPr>
        <w:spacing w:before="160" w:after="40"/>
      </w:pPr>
      <w:r>
        <w:rPr>
          <w:b/>
          <w:color w:val="2F5D62"/>
          <w:sz w:val="24"/>
        </w:rPr>
        <w:t>Ripartizione del budget (%, decision record)</w:t>
      </w:r>
    </w:p>
    <w:p>
      <w:r>
        <w:t>Budget marketing indicativo: 3-4% del ricavo (stadio: maturità). Ripartizione % per canale; gli importi in euro sono nell'allegato economico a cura dell'agenzia.</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Canale</w:t>
            </w:r>
          </w:p>
        </w:tc>
        <w:tc>
          <w:tcPr>
            <w:tcW w:type="dxa" w:w="2880"/>
            <w:shd w:val="clear" w:color="auto" w:fill="2F5D62"/>
          </w:tcPr>
          <w:p>
            <w:r>
              <w:rPr>
                <w:b/>
                <w:color w:val="FFFFFF"/>
                <w:sz w:val="19"/>
              </w:rPr>
              <w:t>Ripartizione %</w:t>
            </w:r>
          </w:p>
        </w:tc>
        <w:tc>
          <w:tcPr>
            <w:tcW w:type="dxa" w:w="2880"/>
            <w:shd w:val="clear" w:color="auto" w:fill="2F5D62"/>
          </w:tcPr>
          <w:p>
            <w:r>
              <w:rPr>
                <w:b/>
                <w:color w:val="FFFFFF"/>
                <w:sz w:val="19"/>
              </w:rPr>
              <w:t>Verdetto</w:t>
            </w:r>
          </w:p>
        </w:tc>
      </w:tr>
      <w:tr>
        <w:tc>
          <w:tcPr>
            <w:tcW w:type="dxa" w:w="2880"/>
          </w:tcPr>
          <w:p>
            <w:r>
              <w:rPr>
                <w:sz w:val="19"/>
              </w:rPr>
              <w:t>SEO organico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Search advertising (Google Ads)</w:t>
            </w:r>
          </w:p>
        </w:tc>
        <w:tc>
          <w:tcPr>
            <w:tcW w:type="dxa" w:w="2880"/>
            <w:shd w:val="clear" w:color="auto" w:fill="EEF2F1"/>
          </w:tcPr>
          <w:p>
            <w:r>
              <w:rPr>
                <w:sz w:val="19"/>
              </w:rPr>
              <w:t>30-40%</w:t>
            </w:r>
          </w:p>
        </w:tc>
        <w:tc>
          <w:tcPr>
            <w:tcW w:type="dxa" w:w="2880"/>
            <w:shd w:val="clear" w:color="auto" w:fill="EEF2F1"/>
          </w:tcPr>
          <w:p>
            <w:r>
              <w:rPr>
                <w:sz w:val="19"/>
              </w:rPr>
              <w:t>Attivare (stagionale)</w:t>
            </w:r>
          </w:p>
        </w:tc>
      </w:tr>
      <w:tr>
        <w:tc>
          <w:tcPr>
            <w:tcW w:type="dxa" w:w="2880"/>
          </w:tcPr>
          <w:p>
            <w:r>
              <w:rPr>
                <w:sz w:val="19"/>
              </w:rPr>
              <w:t>Sito &amp; booking diretto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Social organico</w:t>
            </w:r>
          </w:p>
        </w:tc>
        <w:tc>
          <w:tcPr>
            <w:tcW w:type="dxa" w:w="2880"/>
            <w:shd w:val="clear" w:color="auto" w:fill="EEF2F1"/>
          </w:tcPr>
          <w:p>
            <w:r>
              <w:rPr>
                <w:sz w:val="19"/>
              </w:rPr>
              <w:t>15-25%</w:t>
            </w:r>
          </w:p>
        </w:tc>
        <w:tc>
          <w:tcPr>
            <w:tcW w:type="dxa" w:w="2880"/>
            <w:shd w:val="clear" w:color="auto" w:fill="EEF2F1"/>
          </w:tcPr>
          <w:p>
            <w:r>
              <w:rPr>
                <w:sz w:val="19"/>
              </w:rPr>
              <w:t>Rafforzare</w:t>
            </w:r>
          </w:p>
        </w:tc>
      </w:tr>
      <w:tr>
        <w:tc>
          <w:tcPr>
            <w:tcW w:type="dxa" w:w="2880"/>
          </w:tcPr>
          <w:p>
            <w:r>
              <w:rPr>
                <w:sz w:val="19"/>
              </w:rPr>
              <w:t>Email &amp; CRM</w:t>
            </w:r>
          </w:p>
        </w:tc>
        <w:tc>
          <w:tcPr>
            <w:tcW w:type="dxa" w:w="2880"/>
          </w:tcPr>
          <w:p>
            <w:r>
              <w:rPr>
                <w:sz w:val="19"/>
              </w:rPr>
              <w:t>10-15%</w:t>
            </w:r>
          </w:p>
        </w:tc>
        <w:tc>
          <w:tcPr>
            <w:tcW w:type="dxa" w:w="2880"/>
          </w:tcPr>
          <w:p>
            <w:r>
              <w:rPr>
                <w:sz w:val="19"/>
              </w:rPr>
              <w:t>Attivare</w:t>
            </w:r>
          </w:p>
        </w:tc>
      </w:tr>
      <w:tr>
        <w:tc>
          <w:tcPr>
            <w:tcW w:type="dxa" w:w="2880"/>
            <w:shd w:val="clear" w:color="auto" w:fill="EEF2F1"/>
          </w:tcPr>
          <w:p>
            <w:r>
              <w:rPr>
                <w:sz w:val="19"/>
              </w:rPr>
              <w:t>Mercato DACH (area di lingua tedesca)</w:t>
            </w:r>
          </w:p>
        </w:tc>
        <w:tc>
          <w:tcPr>
            <w:tcW w:type="dxa" w:w="2880"/>
            <w:shd w:val="clear" w:color="auto" w:fill="EEF2F1"/>
          </w:tcPr>
          <w:p>
            <w:r>
              <w:rPr>
                <w:sz w:val="19"/>
              </w:rPr>
              <w:t>10-15%</w:t>
            </w:r>
          </w:p>
        </w:tc>
        <w:tc>
          <w:tcPr>
            <w:tcW w:type="dxa" w:w="2880"/>
            <w:shd w:val="clear" w:color="auto" w:fill="EEF2F1"/>
          </w:tcPr>
          <w:p>
            <w:r>
              <w:rPr>
                <w:sz w:val="19"/>
              </w:rPr>
              <w:t>Attivare</w:t>
            </w:r>
          </w:p>
        </w:tc>
      </w:tr>
      <w:tr>
        <w:tc>
          <w:tcPr>
            <w:tcW w:type="dxa" w:w="2880"/>
          </w:tcPr>
          <w:p>
            <w:r>
              <w:rPr>
                <w:sz w:val="19"/>
              </w:rPr>
              <w:t>Local &amp; Google Business Profile</w:t>
            </w:r>
          </w:p>
        </w:tc>
        <w:tc>
          <w:tcPr>
            <w:tcW w:type="dxa" w:w="2880"/>
          </w:tcPr>
          <w:p>
            <w:r>
              <w:rPr>
                <w:sz w:val="19"/>
              </w:rPr>
              <w:t>15-25%</w:t>
            </w:r>
          </w:p>
        </w:tc>
        <w:tc>
          <w:tcPr>
            <w:tcW w:type="dxa" w:w="2880"/>
          </w:tcPr>
          <w:p>
            <w:r>
              <w:rPr>
                <w:sz w:val="19"/>
              </w:rPr>
              <w:t>Attivare</w:t>
            </w:r>
          </w:p>
        </w:tc>
      </w:tr>
    </w:tbl>
    <w:p>
      <w:pPr>
        <w:spacing w:after="160"/>
      </w:pPr>
    </w:p>
    <w:p>
      <w:r>
        <w:t>Riferimenti di settore (agency/vendor, da validare sui dati reali del cliente — la ripartizione operativa resta quella della tabella qui sopra): search e metasearch dal 30% al 40%; social e video dal 15% al 25%; SEO, contenuti e presenza locale dal 15% al 25%; email e CRM dal 10% al 15%; display e retargeting dal 5% al 10%; riallocazione trimestrale dal 10% al 20% in base ai risultati per canale.</w:t>
      </w:r>
    </w:p>
    <w:p>
      <w:r>
        <w:t>La ripartizione in tabella è il punto di partenza per l'anno che si apre e va letta come sequenza, non come spesa piatta sui dodici mesi: il cantiere tecnico e i contenuti (SEO &amp; content &amp; local) assorbono la quota maggiore di risorse nella finestra di chiusura stagionale, quando la struttura non ospita e può permettersi il lavoro di fondo; search, metasearch e CRM salgono di peso mano a mano che si avvicina la riapertura e si aprono le finestre di prenotazione dei mercati esteri e italiano già definite in roadmap. Questo significa che la stessa percentuale annua di un canale si traduce in pesi diversi trimestre per trimestre, coerentemente con l'archetipo stagionale puro della struttura.</w:t>
      </w:r>
    </w:p>
    <w:p>
      <w:pPr>
        <w:spacing w:before="160" w:after="40"/>
      </w:pPr>
      <w:r>
        <w:rPr>
          <w:b/>
          <w:color w:val="2F5D62"/>
          <w:sz w:val="24"/>
        </w:rPr>
        <w:t>Obiettivi misurabili</w:t>
      </w:r>
    </w:p>
    <w:p>
      <w:pPr>
        <w:pStyle w:val="ListBullet"/>
      </w:pPr>
      <w:r>
        <w:t>Applicare la ripartizione per canale della tabella come base di pianificazione per il primo anno, con revisione trimestrale</w:t>
      </w:r>
    </w:p>
    <w:p>
      <w:pPr>
        <w:pStyle w:val="ListBullet"/>
      </w:pPr>
      <w:r>
        <w:t>Impostare una riallocazione periodica tra canali sulla base delle performance rilevate (obiettivo di processo: la baseline di CAC/ROAS per canale non è oggi disponibile)</w:t>
      </w:r>
    </w:p>
    <w:p>
      <w:pPr>
        <w:spacing w:before="160" w:after="40"/>
      </w:pPr>
      <w:r>
        <w:rPr>
          <w:b/>
          <w:color w:val="2F5D62"/>
          <w:sz w:val="24"/>
        </w:rPr>
        <w:t>Azioni</w:t>
      </w:r>
    </w:p>
    <w:p>
      <w:pPr>
        <w:pStyle w:val="ListBullet"/>
      </w:pPr>
      <w:r>
        <w:t>La quota più consistente della tabella è assegnata a search e metasearch: è coerente con un motore di prenotazione diretto la cui parità tariffaria è ancora da verificare (v. sez. 03) e con un gap di visibilità organica ampio sulla domanda di destinazione (v. sez. 03). Investire qui senza prima aver chiuso la verifica di parità rischia di spingere traffico verso un canale che non converte meglio dell'OTA: la sequenza corretta è prima sanare il cantiere tecnico, poi accendere la spesa su questa voce a pieno regime.</w:t>
      </w:r>
    </w:p>
    <w:p>
      <w:pPr>
        <w:pStyle w:val="ListBullet"/>
      </w:pPr>
      <w:r>
        <w:t>La voce SEO &amp; content &amp; local va concentrata nei mesi di chiusura della struttura, quando il cantiere digitale può procedere senza assorbire risorse operative: schema dati, contenuti per i segmenti prioritari e completamento della scheda Google Business Profile (v. sez. 04) rientrano in questa allocazione e non in quella social, che resta invece la voce naturale per la raccolta di materiale fotografico e video quando la struttura è aperta e ospita.</w:t>
      </w:r>
    </w:p>
    <w:p>
      <w:pPr>
        <w:pStyle w:val="ListBullet"/>
      </w:pPr>
      <w:r>
        <w:t>La quota email/CRM, pur non essendo la più ampia in tabella, è la leva a costo marginale più basso per il parco ospiti già acquisito: attivarla prima dell'apertura delle vendite significa raggiungere chi già conosce la struttura nella finestra in cui decide, anziché rincorrerlo dopo che ha già prenotato altrove.</w:t>
      </w:r>
    </w:p>
    <w:p>
      <w:pPr>
        <w:pStyle w:val="ListBullet"/>
      </w:pPr>
      <w:r>
        <w:t>La quota display/retargeting, la più contenuta della tabella, va trattata come riserva sperimentale: non ha senso attivarla in modo strutturale finché le voci a monte (search, SEO, CRM) non hanno una baseline di performance su cui confrontarsi.</w:t>
      </w:r>
    </w:p>
    <w:p>
      <w:pPr>
        <w:pStyle w:val="ListBullet"/>
      </w:pPr>
      <w:r>
        <w:t>La riallocazione trimestrale prevista dal benchmark operativo di settore (spostare una quota del budget tra canali in base alle performance osservate) è il meccanismo con cui la tabella si aggiorna nel tempo: non una percentuale fissa da rispettare a prescindere, ma una disciplina di revisione da applicare non appena sono disponibili i primi dati di CAC e ROAS per canale.</w:t>
      </w:r>
    </w:p>
    <w:p>
      <w:pPr>
        <w:spacing w:before="160" w:after="40"/>
      </w:pPr>
      <w:r>
        <w:rPr>
          <w:b/>
          <w:color w:val="2F5D62"/>
          <w:sz w:val="24"/>
        </w:rPr>
        <w:t>KPI</w:t>
      </w:r>
    </w:p>
    <w:p>
      <w:r>
        <w:t>I KPI numerici di controllo per la ripartizione di budget sono raccolti in sez. 06; qui si aggiunge solo l'indicatore di processo specifico: quota di budget effettivamente riallocata a ogni revisione trimestrale rispetto al piano iniziale.</w:t>
      </w:r>
    </w:p>
    <w:p>
      <w:pPr>
        <w:spacing w:before="160" w:after="40"/>
      </w:pPr>
      <w:r>
        <w:rPr>
          <w:b/>
          <w:color w:val="2F5D62"/>
          <w:sz w:val="24"/>
        </w:rPr>
        <w:t>Note esecutive</w:t>
      </w:r>
    </w:p>
    <w:p>
      <w:pPr>
        <w:pStyle w:val="ListBullet"/>
      </w:pPr>
      <w:r>
        <w:t>La percentuale di fatturato da destinare complessivamente al marketing dipende dallo stadio della struttura (matura, in crescita, di lancio) e richiede il ricavo reale del cliente per essere tradotta in importo: resta un input da raccogliere, non un valore da stimare in questa sede (v. sez. 08).</w:t>
      </w:r>
    </w:p>
    <w:p>
      <w:pPr>
        <w:pStyle w:val="ListBullet"/>
      </w:pPr>
      <w:r>
        <w:t>Gli importi in euro non compaiono in questo piano: la proposta economica è un allegato separato a cura dell'agenzia.</w:t>
      </w:r>
    </w:p>
    <w:p>
      <w:pPr>
        <w:pStyle w:val="ListBullet"/>
      </w:pPr>
      <w:r>
        <w:t>I benchmark di CAC/CoA e ROAS citati nel cruscotto KPI (sez. 06) sono riferimenti di settore da validare con i dati reali del cliente, non target certi né identici per ogni struttura.</w:t>
      </w:r>
    </w:p>
    <w:p>
      <w:r>
        <w:br w:type="page"/>
      </w:r>
    </w:p>
    <w:p>
      <w:pPr>
        <w:spacing w:after="0"/>
      </w:pPr>
      <w:r>
        <w:rPr>
          <w:b/>
          <w:color w:val="2F5D62"/>
          <w:sz w:val="18"/>
        </w:rPr>
        <w:t>APPENDICE</w:t>
      </w:r>
    </w:p>
    <w:p>
      <w:pPr>
        <w:spacing w:after="200"/>
        <w:pBdr>
          <w:bottom w:val="single" w:sz="18" w:space="6" w:color="2F5D62"/>
        </w:pBdr>
      </w:pPr>
      <w:r>
        <w:rPr>
          <w:b/>
          <w:color w:val="1A1A2E"/>
          <w:sz w:val="40"/>
        </w:rPr>
        <w:t>Assunzioni &amp; input mancanti</w:t>
      </w:r>
    </w:p>
    <w:p>
      <w:r>
        <w:t>Questo piano è stato costruito sui dati reali disponibili dall'analisi diagnostica e sui benchmark di settore dichiarati come tali. Perché la strategia diventi operativa a pieno regime servono alcuni input che oggi non sono nella disponibilità dell'agenzia: la loro raccolta è la prima azione amministrativa da completare, in parallelo al lavoro di cantiere già avviato in sez. 05. Questo box è l'unico punto del piano in cui compaiono riferimenti a metriche tariffarie/di rendimento e a importi economici, esclusivamente come input da acquisire, non come contenuto della strategia.</w:t>
      </w:r>
    </w:p>
    <w:p>
      <w:pPr>
        <w:spacing w:before="160" w:after="40"/>
      </w:pPr>
      <w:r>
        <w:rPr>
          <w:b/>
          <w:color w:val="2F5D62"/>
          <w:sz w:val="24"/>
        </w:rPr>
        <w:t>Obiettivi misurabili</w:t>
      </w:r>
    </w:p>
    <w:p>
      <w:pPr>
        <w:pStyle w:val="ListBullet"/>
      </w:pPr>
      <w:r>
        <w:t>Ottenere dal cliente, entro l'avvio operativo del piano, l'accesso o i dati storici relativi a: quota diretto/OTA, CAC per canale, budget marketing reale, e gli accessi a GA4/Search Console/Google Business Profile/booking engine/PMS</w:t>
      </w:r>
    </w:p>
    <w:p>
      <w:pPr>
        <w:pStyle w:val="ListBullet"/>
      </w:pPr>
      <w:r>
        <w:t>Validare con il cliente, appena disponibili i dati reali, ciascun benchmark di settore usato come riferimento in questo piano, sostituendolo con la baseline propria della struttura</w:t>
      </w:r>
    </w:p>
    <w:p>
      <w:pPr>
        <w:pStyle w:val="ListBullet"/>
      </w:pPr>
      <w:r>
        <w:t>Raccogliere il calendario eventi locali (Sperlonga e destinazioni limitrofe) come input separato, non stimabile dai dati diagnostici</w:t>
      </w:r>
    </w:p>
    <w:p>
      <w:pPr>
        <w:spacing w:before="160" w:after="40"/>
      </w:pPr>
      <w:r>
        <w:rPr>
          <w:b/>
          <w:color w:val="2F5D62"/>
          <w:sz w:val="24"/>
        </w:rPr>
        <w:t>Azioni</w:t>
      </w:r>
    </w:p>
    <w:p>
      <w:r>
        <w:t>Il piano usa più volte un intervallo di riferimento per il costo di acquisizione diretto rispetto alla commissione OTA e un ordine di grandezza indicativo di ROAS su brand/metasearch: sono numeri di settore, utili come bussola per dimensionare priorità e sequenza dei canali, ma non equivalgono al dato della struttura né vanno letti come target uguali per ogni hotel. Senza una baseline propria — quota diretto attuale, CAC storico per canale, budget marciante — non è possibile fissare un obiettivo numerico credibile sul riequilibrio diretto/OTA: finché quella baseline manca, gli obiettivi delle sezioni precedenti restano correttamente formulati come obiettivi di processo (verificare, impostare, presidiare) e non come cifre. Il primo passo pratico è quindi richiedere al cliente l'estrazione, anche parziale, degli ultimi 12-24 mesi di prenotazioni per canale e del budget marketing storico, così da poter tradurre in numeri le priorità già definite in sez. 03 e 04.</w:t>
      </w:r>
    </w:p>
    <w:p>
      <w:r>
        <w:t>Allo stesso modo, la ripartizione percentuale di budget proposta in sez. 07 riprende una logica di allocazione tipica del settore alberghiero (peso maggiore su ricerca/metasearch e presidio organico, quota più contenuta su attività accessorie), da intendersi come punto di partenza da tarare sul ricavo reale della struttura: senza quel ricavo, qualunque importo assoluto in euro sarebbe una cifra costruita, non un dato. La proposta commerciale con gli importi economici resta un allegato a parte, di competenza dell'agenzia, distinto da questo piano strategico.</w:t>
      </w:r>
    </w:p>
    <w:p>
      <w:r>
        <w:t>Le metriche tariffarie e di rendimento della struttura (fascia di prezzo, formule, riempimento stagionale) restano di competenza della struttura: questo piano non le tocca né le stima, ma segnala che senza una lettura aggiornata di questi dati da parte del cliente non è possibile calibrare con precisione i mesi di apertura delle campagne di sez. 05 oltre l'ipotesi già dichiarata (archetipo stagionale puro, mesi aprile-settembre), né validare quali finestre di prenotazione per mercato estero siano effettivamente confermate dal proprio storico piuttosto che assunte da prassi di destinazione.</w:t>
      </w:r>
    </w:p>
    <w:p>
      <w:r>
        <w:t>Sul fronte della domanda di ricerca, il quadro usato in questo piano (40 keyword pertinenti, 5 presidiate, 35 in gap per un volume mensile complessivo di circa 21.600 ricerche) è già un dato acquisito e non un input mancante: ogni azione SEO del piano vi si appoggia direttamente. Un futuro export aggiornato andrà trattato come delta datato rispetto a questo ledger, non come sostituto: si integra, non si ricalcola. Restano invece da acquisire gli accessi a Search Console e GA4, che permetterebbero di verificare il traffico e le conversioni realmente generati, e non solo il volume di domanda teorica.</w:t>
      </w:r>
    </w:p>
    <w:p>
      <w:r>
        <w:t>Infine, la verifica di presenza e parità tariffaria sui metasearch (Google Hotel Ads, Trivago, Kayak) richiamata in sez. 03 e 04 richiede un accesso o una query diretta che l'agenzia non ha ancora eseguito in questa fase diagnostica: va programmata come primo controllo tecnico, prima di allocare budget a supporto del booking diretto, così da non investire su una leva — la tariffa migliore garantita dal sito — che potrebbe risultare vanificata da un disallineamento a monte.</w:t>
      </w:r>
    </w:p>
    <w:p>
      <w:pPr>
        <w:spacing w:before="160" w:after="40"/>
      </w:pPr>
      <w:r>
        <w:rPr>
          <w:b/>
          <w:color w:val="2F5D62"/>
          <w:sz w:val="24"/>
        </w:rPr>
        <w:t>KPI</w:t>
      </w:r>
    </w:p>
    <w:p>
      <w:pPr>
        <w:pStyle w:val="ListBullet"/>
      </w:pPr>
      <w:r>
        <w:t>Completamento della raccolta input (accessi + dati storici cliente): obiettivo di processo, v. sez. 06 per il cruscotto operativo a regime</w:t>
      </w:r>
    </w:p>
    <w:p>
      <w:pPr>
        <w:pStyle w:val="ListBullet"/>
      </w:pPr>
      <w:r>
        <w:t>Numero di benchmark di settore sostituiti con baseline reale del cliente: da tracciare come avanzamento, non come punteggio</w:t>
      </w:r>
    </w:p>
    <w:p>
      <w:pPr>
        <w:spacing w:before="160" w:after="40"/>
      </w:pPr>
      <w:r>
        <w:rPr>
          <w:b/>
          <w:color w:val="2F5D62"/>
          <w:sz w:val="24"/>
        </w:rPr>
        <w:t>Note esecutive</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Elemento</w:t>
            </w:r>
          </w:p>
        </w:tc>
        <w:tc>
          <w:tcPr>
            <w:tcW w:type="dxa" w:w="2880"/>
            <w:shd w:val="clear" w:color="auto" w:fill="2F5D62"/>
          </w:tcPr>
          <w:p>
            <w:r>
              <w:rPr>
                <w:b/>
                <w:color w:val="FFFFFF"/>
                <w:sz w:val="19"/>
              </w:rPr>
              <w:t>Natura</w:t>
            </w:r>
          </w:p>
        </w:tc>
        <w:tc>
          <w:tcPr>
            <w:tcW w:type="dxa" w:w="2880"/>
            <w:shd w:val="clear" w:color="auto" w:fill="2F5D62"/>
          </w:tcPr>
          <w:p>
            <w:r>
              <w:rPr>
                <w:b/>
                <w:color w:val="FFFFFF"/>
                <w:sz w:val="19"/>
              </w:rPr>
              <w:t>Trattamento nel piano</w:t>
            </w:r>
          </w:p>
        </w:tc>
      </w:tr>
      <w:tr>
        <w:tc>
          <w:tcPr>
            <w:tcW w:type="dxa" w:w="2880"/>
          </w:tcPr>
          <w:p>
            <w:r>
              <w:rPr>
                <w:sz w:val="19"/>
              </w:rPr>
              <w:t>CoA diretto ~4-5% del ricavo vs commissione OTA 15-30%</w:t>
            </w:r>
          </w:p>
        </w:tc>
        <w:tc>
          <w:tcPr>
            <w:tcW w:type="dxa" w:w="2880"/>
          </w:tcPr>
          <w:p>
            <w:r>
              <w:rPr>
                <w:sz w:val="19"/>
              </w:rPr>
              <w:t>Benchmark di settore, non dato del cliente</w:t>
            </w:r>
          </w:p>
        </w:tc>
        <w:tc>
          <w:tcPr>
            <w:tcW w:type="dxa" w:w="2880"/>
          </w:tcPr>
          <w:p>
            <w:r>
              <w:rPr>
                <w:sz w:val="19"/>
              </w:rPr>
              <w:t>Usato come riferimento di priorità canale in sez. 03/04; da validare col ricavo reale</w:t>
            </w:r>
          </w:p>
        </w:tc>
      </w:tr>
      <w:tr>
        <w:tc>
          <w:tcPr>
            <w:tcW w:type="dxa" w:w="2880"/>
            <w:shd w:val="clear" w:color="auto" w:fill="EEF2F1"/>
          </w:tcPr>
          <w:p>
            <w:r>
              <w:rPr>
                <w:sz w:val="19"/>
              </w:rPr>
              <w:t>CAC diretto ~15-25 € vs OTA ~35-60 €</w:t>
            </w:r>
          </w:p>
        </w:tc>
        <w:tc>
          <w:tcPr>
            <w:tcW w:type="dxa" w:w="2880"/>
            <w:shd w:val="clear" w:color="auto" w:fill="EEF2F1"/>
          </w:tcPr>
          <w:p>
            <w:r>
              <w:rPr>
                <w:sz w:val="19"/>
              </w:rPr>
              <w:t>Benchmark di settore, non dato del cliente</w:t>
            </w:r>
          </w:p>
        </w:tc>
        <w:tc>
          <w:tcPr>
            <w:tcW w:type="dxa" w:w="2880"/>
            <w:shd w:val="clear" w:color="auto" w:fill="EEF2F1"/>
          </w:tcPr>
          <w:p>
            <w:r>
              <w:rPr>
                <w:sz w:val="19"/>
              </w:rPr>
              <w:t>Riferimento indicativo, non target fisso per la struttura</w:t>
            </w:r>
          </w:p>
        </w:tc>
      </w:tr>
      <w:tr>
        <w:tc>
          <w:tcPr>
            <w:tcW w:type="dxa" w:w="2880"/>
          </w:tcPr>
          <w:p>
            <w:r>
              <w:rPr>
                <w:sz w:val="19"/>
              </w:rPr>
              <w:t>ROAS brand/metasearch indicativo ~8:1</w:t>
            </w:r>
          </w:p>
        </w:tc>
        <w:tc>
          <w:tcPr>
            <w:tcW w:type="dxa" w:w="2880"/>
          </w:tcPr>
          <w:p>
            <w:r>
              <w:rPr>
                <w:sz w:val="19"/>
              </w:rPr>
              <w:t>Benchmark di settore per indipendenti</w:t>
            </w:r>
          </w:p>
        </w:tc>
        <w:tc>
          <w:tcPr>
            <w:tcW w:type="dxa" w:w="2880"/>
          </w:tcPr>
          <w:p>
            <w:r>
              <w:rPr>
                <w:sz w:val="19"/>
              </w:rPr>
              <w:t>Bussola di dimensionamento, da tarare sui dati reali di conversione</w:t>
            </w:r>
          </w:p>
        </w:tc>
      </w:tr>
      <w:tr>
        <w:tc>
          <w:tcPr>
            <w:tcW w:type="dxa" w:w="2880"/>
            <w:shd w:val="clear" w:color="auto" w:fill="EEF2F1"/>
          </w:tcPr>
          <w:p>
            <w:r>
              <w:rPr>
                <w:sz w:val="19"/>
              </w:rPr>
              <w:t>Ripartizione % di budget per canale/attività</w:t>
            </w:r>
          </w:p>
        </w:tc>
        <w:tc>
          <w:tcPr>
            <w:tcW w:type="dxa" w:w="2880"/>
            <w:shd w:val="clear" w:color="auto" w:fill="EEF2F1"/>
          </w:tcPr>
          <w:p>
            <w:r>
              <w:rPr>
                <w:sz w:val="19"/>
              </w:rPr>
              <w:t>Allocazione da prassi di settore</w:t>
            </w:r>
          </w:p>
        </w:tc>
        <w:tc>
          <w:tcPr>
            <w:tcW w:type="dxa" w:w="2880"/>
            <w:shd w:val="clear" w:color="auto" w:fill="EEF2F1"/>
          </w:tcPr>
          <w:p>
            <w:r>
              <w:rPr>
                <w:sz w:val="19"/>
              </w:rPr>
              <w:t>Espressa solo in percentuale in sez. 07; l'importo in € è fuori perimetro di questo piano</w:t>
            </w:r>
          </w:p>
        </w:tc>
      </w:tr>
      <w:tr>
        <w:tc>
          <w:tcPr>
            <w:tcW w:type="dxa" w:w="2880"/>
          </w:tcPr>
          <w:p>
            <w:r>
              <w:rPr>
                <w:sz w:val="19"/>
              </w:rPr>
              <w:t>Quota diretto/OTA reale e CAC storico per canale</w:t>
            </w:r>
          </w:p>
        </w:tc>
        <w:tc>
          <w:tcPr>
            <w:tcW w:type="dxa" w:w="2880"/>
          </w:tcPr>
          <w:p>
            <w:r>
              <w:rPr>
                <w:sz w:val="19"/>
              </w:rPr>
              <w:t>Input cliente mancante</w:t>
            </w:r>
          </w:p>
        </w:tc>
        <w:tc>
          <w:tcPr>
            <w:tcW w:type="dxa" w:w="2880"/>
          </w:tcPr>
          <w:p>
            <w:r>
              <w:rPr>
                <w:sz w:val="19"/>
              </w:rPr>
              <w:t>Da richiedere prima di fissare obiettivi numerici di riequilibrio canale</w:t>
            </w:r>
          </w:p>
        </w:tc>
      </w:tr>
      <w:tr>
        <w:tc>
          <w:tcPr>
            <w:tcW w:type="dxa" w:w="2880"/>
            <w:shd w:val="clear" w:color="auto" w:fill="EEF2F1"/>
          </w:tcPr>
          <w:p>
            <w:r>
              <w:rPr>
                <w:sz w:val="19"/>
              </w:rPr>
              <w:t>Budget marketing storico/marciante</w:t>
            </w:r>
          </w:p>
        </w:tc>
        <w:tc>
          <w:tcPr>
            <w:tcW w:type="dxa" w:w="2880"/>
            <w:shd w:val="clear" w:color="auto" w:fill="EEF2F1"/>
          </w:tcPr>
          <w:p>
            <w:r>
              <w:rPr>
                <w:sz w:val="19"/>
              </w:rPr>
              <w:t>Input cliente mancante</w:t>
            </w:r>
          </w:p>
        </w:tc>
        <w:tc>
          <w:tcPr>
            <w:tcW w:type="dxa" w:w="2880"/>
            <w:shd w:val="clear" w:color="auto" w:fill="EEF2F1"/>
          </w:tcPr>
          <w:p>
            <w:r>
              <w:rPr>
                <w:sz w:val="19"/>
              </w:rPr>
              <w:t>Necessario per tradurre la ripartizione % in importi assoluti (fuori da questo piano)</w:t>
            </w:r>
          </w:p>
        </w:tc>
      </w:tr>
      <w:tr>
        <w:tc>
          <w:tcPr>
            <w:tcW w:type="dxa" w:w="2880"/>
          </w:tcPr>
          <w:p>
            <w:r>
              <w:rPr>
                <w:sz w:val="19"/>
              </w:rPr>
              <w:t>Dati di riempimento stagionale e metriche tariffarie</w:t>
            </w:r>
          </w:p>
        </w:tc>
        <w:tc>
          <w:tcPr>
            <w:tcW w:type="dxa" w:w="2880"/>
          </w:tcPr>
          <w:p>
            <w:r>
              <w:rPr>
                <w:sz w:val="19"/>
              </w:rPr>
              <w:t>Input cliente mancante — revenue management, fuori perimetro</w:t>
            </w:r>
          </w:p>
        </w:tc>
        <w:tc>
          <w:tcPr>
            <w:tcW w:type="dxa" w:w="2880"/>
          </w:tcPr>
          <w:p>
            <w:r>
              <w:rPr>
                <w:sz w:val="19"/>
              </w:rPr>
              <w:t>Restano di competenza della struttura; qui solo segnalati come da acquisire</w:t>
            </w:r>
          </w:p>
        </w:tc>
      </w:tr>
      <w:tr>
        <w:tc>
          <w:tcPr>
            <w:tcW w:type="dxa" w:w="2880"/>
            <w:shd w:val="clear" w:color="auto" w:fill="EEF2F1"/>
          </w:tcPr>
          <w:p>
            <w:r>
              <w:rPr>
                <w:sz w:val="19"/>
              </w:rPr>
              <w:t>Calendario eventi locali (Sperlonga e zone limitrofe)</w:t>
            </w:r>
          </w:p>
        </w:tc>
        <w:tc>
          <w:tcPr>
            <w:tcW w:type="dxa" w:w="2880"/>
            <w:shd w:val="clear" w:color="auto" w:fill="EEF2F1"/>
          </w:tcPr>
          <w:p>
            <w:r>
              <w:rPr>
                <w:sz w:val="19"/>
              </w:rPr>
              <w:t>Input esterno mancante</w:t>
            </w:r>
          </w:p>
        </w:tc>
        <w:tc>
          <w:tcPr>
            <w:tcW w:type="dxa" w:w="2880"/>
            <w:shd w:val="clear" w:color="auto" w:fill="EEF2F1"/>
          </w:tcPr>
          <w:p>
            <w:r>
              <w:rPr>
                <w:sz w:val="19"/>
              </w:rPr>
              <w:t>Da raccogliere per affinare le finestre di campagna di sez. 05</w:t>
            </w:r>
          </w:p>
        </w:tc>
      </w:tr>
      <w:tr>
        <w:tc>
          <w:tcPr>
            <w:tcW w:type="dxa" w:w="2880"/>
          </w:tcPr>
          <w:p>
            <w:r>
              <w:rPr>
                <w:sz w:val="19"/>
              </w:rPr>
              <w:t>Accessi GA4 / Search Console / Google Business Profile / booking engine / PMS</w:t>
            </w:r>
          </w:p>
        </w:tc>
        <w:tc>
          <w:tcPr>
            <w:tcW w:type="dxa" w:w="2880"/>
          </w:tcPr>
          <w:p>
            <w:r>
              <w:rPr>
                <w:sz w:val="19"/>
              </w:rPr>
              <w:t>Input cliente mancante</w:t>
            </w:r>
          </w:p>
        </w:tc>
        <w:tc>
          <w:tcPr>
            <w:tcW w:type="dxa" w:w="2880"/>
          </w:tcPr>
          <w:p>
            <w:r>
              <w:rPr>
                <w:sz w:val="19"/>
              </w:rPr>
              <w:t>Necessari per misurare i KPI di sez. 06 con dati di prima mano anziché stime</w:t>
            </w:r>
          </w:p>
        </w:tc>
      </w:tr>
      <w:tr>
        <w:tc>
          <w:tcPr>
            <w:tcW w:type="dxa" w:w="2880"/>
            <w:shd w:val="clear" w:color="auto" w:fill="EEF2F1"/>
          </w:tcPr>
          <w:p>
            <w:r>
              <w:rPr>
                <w:sz w:val="19"/>
              </w:rPr>
              <w:t>Domanda di ricerca (40 keyword, 5 presidiate, gap ~21.600/mese)</w:t>
            </w:r>
          </w:p>
        </w:tc>
        <w:tc>
          <w:tcPr>
            <w:tcW w:type="dxa" w:w="2880"/>
            <w:shd w:val="clear" w:color="auto" w:fill="EEF2F1"/>
          </w:tcPr>
          <w:p>
            <w:r>
              <w:rPr>
                <w:sz w:val="19"/>
              </w:rPr>
              <w:t>Dato già acquisito (ledger canonico)</w:t>
            </w:r>
          </w:p>
        </w:tc>
        <w:tc>
          <w:tcPr>
            <w:tcW w:type="dxa" w:w="2880"/>
            <w:shd w:val="clear" w:color="auto" w:fill="EEF2F1"/>
          </w:tcPr>
          <w:p>
            <w:r>
              <w:rPr>
                <w:sz w:val="19"/>
              </w:rPr>
              <w:t>Non è un input mancante: un futuro export SEOZoom entra solo come delta datato</w:t>
            </w:r>
          </w:p>
        </w:tc>
      </w:tr>
      <w:tr>
        <w:tc>
          <w:tcPr>
            <w:tcW w:type="dxa" w:w="2880"/>
          </w:tcPr>
          <w:p>
            <w:r>
              <w:rPr>
                <w:sz w:val="19"/>
              </w:rPr>
              <w:t>Presenza e parità tariffaria sui metasearch</w:t>
            </w:r>
          </w:p>
        </w:tc>
        <w:tc>
          <w:tcPr>
            <w:tcW w:type="dxa" w:w="2880"/>
          </w:tcPr>
          <w:p>
            <w:r>
              <w:rPr>
                <w:sz w:val="19"/>
              </w:rPr>
              <w:t>Verifica tecnica da eseguire</w:t>
            </w:r>
          </w:p>
        </w:tc>
        <w:tc>
          <w:tcPr>
            <w:tcW w:type="dxa" w:w="2880"/>
          </w:tcPr>
          <w:p>
            <w:r>
              <w:rPr>
                <w:sz w:val="19"/>
              </w:rPr>
              <w:t>Prerequisito da controllare prima di investire budget a supporto del diretto (v. sez. 03/04)</w:t>
            </w:r>
          </w:p>
        </w:tc>
      </w:tr>
      <w:tr>
        <w:tc>
          <w:tcPr>
            <w:tcW w:type="dxa" w:w="2880"/>
            <w:shd w:val="clear" w:color="auto" w:fill="EEF2F1"/>
          </w:tcPr>
          <w:p>
            <w:r>
              <w:rPr>
                <w:sz w:val="19"/>
              </w:rPr>
              <w:t>Proposta commerciale con importi in €</w:t>
            </w:r>
          </w:p>
        </w:tc>
        <w:tc>
          <w:tcPr>
            <w:tcW w:type="dxa" w:w="2880"/>
            <w:shd w:val="clear" w:color="auto" w:fill="EEF2F1"/>
          </w:tcPr>
          <w:p>
            <w:r>
              <w:rPr>
                <w:sz w:val="19"/>
              </w:rPr>
              <w:t>Allegato separato di competenza agenzia</w:t>
            </w:r>
          </w:p>
        </w:tc>
        <w:tc>
          <w:tcPr>
            <w:tcW w:type="dxa" w:w="2880"/>
            <w:shd w:val="clear" w:color="auto" w:fill="EEF2F1"/>
          </w:tcPr>
          <w:p>
            <w:r>
              <w:rPr>
                <w:sz w:val="19"/>
              </w:rPr>
              <w:t>Non incluso in questo piano, che esprime il budget solo come ripartizione percentuale</w:t>
            </w:r>
          </w:p>
        </w:tc>
      </w:tr>
    </w:tbl>
    <w:p>
      <w:pPr>
        <w:spacing w:after="16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