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ADRIA BEACH CLUB</w:t>
      </w:r>
    </w:p>
    <w:p>
      <w:pPr>
        <w:jc w:val="center"/>
      </w:pPr>
      <w:r>
        <w:rPr>
          <w:color w:val="6B7280"/>
          <w:sz w:val="26"/>
        </w:rPr>
        <w:t>Villamarina di Cesenatico  ·  3 stelle</w:t>
      </w:r>
    </w:p>
    <w:p>
      <w:pPr>
        <w:spacing w:before="360"/>
        <w:pBdr>
          <w:bottom w:val="single" w:sz="12" w:space="6" w:color="2F5D62"/>
        </w:pBdr>
      </w:pPr>
    </w:p>
    <w:p>
      <w:pPr>
        <w:spacing w:before="160"/>
        <w:jc w:val="center"/>
      </w:pPr>
      <w:r>
        <w:rPr>
          <w:color w:val="6B7280"/>
          <w:sz w:val="18"/>
        </w:rPr>
        <w:t>Documento operativo · 22/09/2026 15:11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Adria Beach Club gioca la partita del family hotel fronte mare a gestione familiare sulla riviera di Villamarina di Cesenatico: un piccolo villaggio balneare, non un albergo generico, con piscina vista mare e accesso diretto alla spiaggia privata come cuore del prodotto. La leva competitiva reale non è il posizionamento reputazionale — già solido e coerente con il target dichiarato — ma la sua traduzione in visibilità: oggi la struttura è invisibile nel momento in cui la domanda si forma online, mentre lo è già agli occhi di chi la vive. Le mosse che aprono il piano sono tre: portare online, con lessico e contenuti coerenti, il posizionamento family già confermato dall'esperienza reale; blindare la promessa di accessibilità dove si è mostrata fragile, prima che diventi un tema strutturale; e costruire il ponte tra la fiducia già conquistata dagli ospiti abituali e un canale diretto oggi non presidiato. Nessun competitor del set analizzato dispone di un dato reputazionale comparabile su fonte omogenea: la struttura va quindi misurata sulla propria traiettoria, non contro un vantaggio o uno svantaggio dichiarato verso terzi.</w:t>
      </w:r>
    </w:p>
    <w:p>
      <w:pPr>
        <w:spacing w:before="160" w:after="40"/>
      </w:pPr>
      <w:r>
        <w:rPr>
          <w:b/>
          <w:color w:val="2F5D62"/>
          <w:sz w:val="24"/>
        </w:rPr>
        <w:t>Posizionamento target</w:t>
      </w:r>
    </w:p>
    <w:p>
      <w:r>
        <w:t>La promessa di valore da portare in ogni canale è quella già validata dalla clientela reale: hotel fronte mare a conduzione familiare, con spiaggia privata ad accesso diretto e piscina vista mare, pensato per famiglie con bambini che cercano formula balneare completa (piscina area bimbi, Mini Club, menù bimbi) a un rapporto qualità-prezzo riconosciuto. È uno scostamento minimo ma operativo rispetto al posizionamento dichiarato dal sito, che allarga il target a coppie, viaggiatori singoli, proprietari di animali e appassionati di auto d'epoca: la clientela realmente intercettata dalla reputazione converge invece in modo netto sul nucleo famiglia, con una coda minoritaria ma reale di coppie e di ospiti abituali. Il piano non abbandona i target secondari — pet-friendly e coppie restano leve di differenziazione da attivare — ma sequenzia le priorità: prima il nucleo che genera la domanda e la fedeltà, poi le nicchie a supporto.</w:t>
      </w:r>
    </w:p>
    <w:p>
      <w:pPr>
        <w:spacing w:before="160" w:after="40"/>
      </w:pPr>
      <w:r>
        <w:rPr>
          <w:b/>
          <w:color w:val="2F5D62"/>
          <w:sz w:val="24"/>
        </w:rPr>
        <w:t>Obiettivi misurabili</w:t>
      </w:r>
    </w:p>
    <w:p>
      <w:pPr>
        <w:pStyle w:val="ListBullet"/>
      </w:pPr>
      <w:r>
        <w:t>Allineare il posizionamento online (contenuti, meta-title, pagine di prodotto) al nucleo family già confermato dalla clientela, superando l'attuale genericità del target dichiarato</w:t>
      </w:r>
    </w:p>
    <w:p>
      <w:pPr>
        <w:pStyle w:val="ListBullet"/>
      </w:pPr>
      <w:r>
        <w:t>Impostare la misurazione della quota di ripetenti sul totale prenotazioni: la baseline non è oggi disponibile e va rilevata come primo passo</w:t>
      </w:r>
    </w:p>
    <w:p>
      <w:pPr>
        <w:pStyle w:val="ListBullet"/>
      </w:pPr>
      <w:r>
        <w:t>Verificare entro l'orizzonte del piano se il pattern di segnalazioni sull'accessibilità resta un episodio isolato o diventa ricorrente, prima di comunicare nuovamente il claim in modo esteso</w:t>
      </w:r>
    </w:p>
    <w:p>
      <w:pPr>
        <w:spacing w:before="160" w:after="40"/>
      </w:pPr>
      <w:r>
        <w:rPr>
          <w:b/>
          <w:color w:val="2F5D62"/>
          <w:sz w:val="24"/>
        </w:rPr>
        <w:t>Azioni</w:t>
      </w:r>
    </w:p>
    <w:p>
      <w:pPr>
        <w:pStyle w:val="ListBullet"/>
      </w:pPr>
      <w:r>
        <w:t>Il target dichiarato sul sito include profili eterogenei (famiglie, coppie, single, pet owner, appassionati di auto d'epoca) mentre la domanda reale e la reputazione convergono in modo netto sulla famiglia con bambini: senza una gerarchia esplicita, i contenuti e la comunicazione continueranno a diluire il messaggio verso un pubblico generico invece che parlare con precisione a chi già sceglie la struttura. Ridisegnare l'architettura dei contenuti-chiave (home, pagine di prodotto, offerte) mettendo il nucleo famiglia al primo livello e i target secondari — coppie, pet-friendly — come sezioni dedicate di secondo livello, con il lessico di prodotto proprio della vacanza balneare (formule, piano famiglia, spiaggia inclusa).</w:t>
      </w:r>
    </w:p>
    <w:p>
      <w:pPr>
        <w:pStyle w:val="ListBullet"/>
      </w:pPr>
      <w:r>
        <w:t>La gestione familiare pluriennale e la spiaggia privata ad accesso diretto sono gli elementi che generano il legame emotivo più forte negli ospiti, al punto da far descrivere la struttura come una seconda casa: è un asset distintivo che nessun contenuto attuale del sito valorizza in modo esplicito e narrativo. Costruire attorno a questo asset un racconto editoriale riconoscibile (storia della famiglia proprietaria, continuità nel tempo, accesso diretto piscina-spiaggia) da veicolare su home page, pagina posizionamento e materiali di contatto con i clienti abituali, così da rendere esplicito ciò che oggi emerge solo spontaneamente dalle recensioni.</w:t>
      </w:r>
    </w:p>
    <w:p>
      <w:pPr>
        <w:pStyle w:val="ListBullet"/>
      </w:pPr>
      <w:r>
        <w:t>Il claim di accessibilità dichiarato su più pagine del sito si scontra con un pattern recente e circostanziato di segnalazioni su camera, bagno e passerella spiaggia non idonei: comunicare ancora il claim in modo esteso senza prima verificarne la tenuta espone la struttura a un rischio reputazionale diretto e circoscritto. Sospendere l'enfasi promozionale sul claim di accessibilità fino a una verifica operativa puntuale con la struttura, mantenendo nel frattempo un'informazione fattuale e verificata (non promozionale) sui servizi effettivamente disponibili.</w:t>
      </w:r>
    </w:p>
    <w:p>
      <w:pPr>
        <w:pStyle w:val="ListBullet"/>
      </w:pPr>
      <w:r>
        <w:t>La quota di ospiti abituali, per quanto minoritaria nel campione, è accompagnata da un sentiment fra i più positivi rilevati e da un lessico di appartenenza ricorrente, ma non risulta oggi sostenuta da alcun meccanismo strutturato di raccolta contatti o richiamo: il loyalty loop esiste nella percezione degli ospiti, non ancora nel processo commerciale. Avviare la raccolta sistematica dei contatti post-soggiorno come primo mattone del canale diretto, propedeutica alle azioni di richiamo trattate in dettaglio nelle sezioni di canale e CRM.</w:t>
      </w:r>
    </w:p>
    <w:p>
      <w:pPr>
        <w:spacing w:before="160" w:after="40"/>
      </w:pPr>
      <w:r>
        <w:rPr>
          <w:b/>
          <w:color w:val="2F5D62"/>
          <w:sz w:val="24"/>
        </w:rPr>
        <w:t>KPI</w:t>
      </w:r>
    </w:p>
    <w:p>
      <w:r>
        <w:t>I KPI numerici di riferimento per il posizionamento (coerenza del nucleo target nei contenuti, baseline e traiettoria della quota di ripetenti, esito della verifica sul claim di accessibilità) sono raccolti e monitorati in sez. 06 — Misurazione.</w:t>
      </w:r>
    </w:p>
    <w:p>
      <w:pPr>
        <w:spacing w:before="160" w:after="40"/>
      </w:pPr>
      <w:r>
        <w:rPr>
          <w:b/>
          <w:color w:val="2F5D62"/>
          <w:sz w:val="24"/>
        </w:rPr>
        <w:t>Note esecutive</w:t>
      </w:r>
    </w:p>
    <w:p>
      <w:pPr>
        <w:pStyle w:val="ListBullet"/>
      </w:pPr>
      <w:r>
        <w:t>Il riposizionamento dei contenuti è un intervento editoriale e informativo, non tariffario: non tocca listini o formule commerciali, che restano di competenza della struttura.</w:t>
      </w:r>
    </w:p>
    <w:p>
      <w:pPr>
        <w:pStyle w:val="ListBullet"/>
      </w:pPr>
      <w:r>
        <w:t>La verifica sul tema accessibilità è prioritaria e a basso costo di esecuzione: va collocata nelle primissime settimane del piano, prima di qualsiasi investimento promozionale aggiuntivo sul claim.</w:t>
      </w:r>
    </w:p>
    <w:p>
      <w:pPr>
        <w:pStyle w:val="ListBullet"/>
      </w:pPr>
      <w:r>
        <w:t>L'aggiornamento del posizionamento online precede, per costruzione, le azioni di canale e contenuto trattate nelle sezioni successive: è la cornice a cui quelle azioni devono restare coerenti.</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r>
        <w:t>La priorità commerciale va costruita sulla clientela reale, non su quella dichiarata: il sito nomina anche appassionati di auto d'epoca e viaggiatori singoli, ma la reputazione misurata concentra il grosso su tre profili — famiglia con bambini, clienti abituali e coppie. Il piano di messaggio si costruisce su questi tre, in quest'ordine di peso, lasciando gli altri profili come coda opportunistica senza investimento dedicato.</w:t>
      </w:r>
    </w:p>
    <w:p>
      <w:pPr>
        <w:spacing w:before="160" w:after="40"/>
      </w:pPr>
      <w:r>
        <w:rPr>
          <w:b/>
          <w:color w:val="2F5D62"/>
          <w:sz w:val="24"/>
        </w:rPr>
        <w:t>I tre segmenti e il messaggio chiave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Peso</w:t>
            </w:r>
          </w:p>
        </w:tc>
        <w:tc>
          <w:tcPr>
            <w:tcW w:type="dxa" w:w="2160"/>
            <w:shd w:val="clear" w:color="auto" w:fill="2F5D62"/>
          </w:tcPr>
          <w:p>
            <w:r>
              <w:rPr>
                <w:b/>
                <w:color w:val="FFFFFF"/>
                <w:sz w:val="19"/>
              </w:rPr>
              <w:t>Finestra di prenotazione (contesto)</w:t>
            </w:r>
          </w:p>
        </w:tc>
        <w:tc>
          <w:tcPr>
            <w:tcW w:type="dxa" w:w="2160"/>
            <w:shd w:val="clear" w:color="auto" w:fill="2F5D62"/>
          </w:tcPr>
          <w:p>
            <w:r>
              <w:rPr>
                <w:b/>
                <w:color w:val="FFFFFF"/>
                <w:sz w:val="19"/>
              </w:rPr>
              <w:t>Messaggio chiave</w:t>
            </w:r>
          </w:p>
        </w:tc>
      </w:tr>
      <w:tr>
        <w:tc>
          <w:tcPr>
            <w:tcW w:type="dxa" w:w="2160"/>
          </w:tcPr>
          <w:p>
            <w:r>
              <w:rPr>
                <w:sz w:val="19"/>
              </w:rPr>
              <w:t>Famiglia con bambini (0-12)</w:t>
            </w:r>
          </w:p>
        </w:tc>
        <w:tc>
          <w:tcPr>
            <w:tcW w:type="dxa" w:w="2160"/>
          </w:tcPr>
          <w:p>
            <w:r>
              <w:rPr>
                <w:sz w:val="19"/>
              </w:rPr>
              <w:t>~40-45%</w:t>
            </w:r>
          </w:p>
        </w:tc>
        <w:tc>
          <w:tcPr>
            <w:tcW w:type="dxa" w:w="2160"/>
          </w:tcPr>
          <w:p>
            <w:r>
              <w:rPr>
                <w:sz w:val="19"/>
              </w:rPr>
              <w:t>medio-lunga, con anticipo marcato sui mesi invernali per l'estate successiva</w:t>
            </w:r>
          </w:p>
        </w:tc>
        <w:tc>
          <w:tcPr>
            <w:tcW w:type="dxa" w:w="2160"/>
          </w:tcPr>
          <w:p>
            <w:r>
              <w:rPr>
                <w:sz w:val="19"/>
              </w:rPr>
              <w:t>Formula all inclusive o mezza pensione, piano famiglia con bambini gratis per fascia d'età, un ombrellone e due lettini inclusi in spiaggia privata, Mini Club e area bimbi in piscina: il pacchetto va nominato per intero, non evocato</w:t>
            </w:r>
          </w:p>
        </w:tc>
      </w:tr>
      <w:tr>
        <w:tc>
          <w:tcPr>
            <w:tcW w:type="dxa" w:w="2160"/>
            <w:shd w:val="clear" w:color="auto" w:fill="EEF2F1"/>
          </w:tcPr>
          <w:p>
            <w:r>
              <w:rPr>
                <w:sz w:val="19"/>
              </w:rPr>
              <w:t>Clienti abituali (loyalty loop)</w:t>
            </w:r>
          </w:p>
        </w:tc>
        <w:tc>
          <w:tcPr>
            <w:tcW w:type="dxa" w:w="2160"/>
            <w:shd w:val="clear" w:color="auto" w:fill="EEF2F1"/>
          </w:tcPr>
          <w:p>
            <w:r>
              <w:rPr>
                <w:sz w:val="19"/>
              </w:rPr>
              <w:t>~9-15%</w:t>
            </w:r>
          </w:p>
        </w:tc>
        <w:tc>
          <w:tcPr>
            <w:tcW w:type="dxa" w:w="2160"/>
            <w:shd w:val="clear" w:color="auto" w:fill="EEF2F1"/>
          </w:tcPr>
          <w:p>
            <w:r>
              <w:rPr>
                <w:sz w:val="19"/>
              </w:rPr>
              <w:t>anticipata rispetto all'apertura demand del proprio segmento (v. sez. 05)</w:t>
            </w:r>
          </w:p>
        </w:tc>
        <w:tc>
          <w:tcPr>
            <w:tcW w:type="dxa" w:w="2160"/>
            <w:shd w:val="clear" w:color="auto" w:fill="EEF2F1"/>
          </w:tcPr>
          <w:p>
            <w:r>
              <w:rPr>
                <w:sz w:val="19"/>
              </w:rPr>
              <w:t>Un pacchetto 'ospite fedele' con vantaggio riservato e accesso prioritario alle date più richieste, comunicato come riconoscimento della relazione pluriennale con la gestione</w:t>
            </w:r>
          </w:p>
        </w:tc>
      </w:tr>
      <w:tr>
        <w:tc>
          <w:tcPr>
            <w:tcW w:type="dxa" w:w="2160"/>
          </w:tcPr>
          <w:p>
            <w:r>
              <w:rPr>
                <w:sz w:val="19"/>
              </w:rPr>
              <w:t>Coppie (soggiorno breve / relax balneare)</w:t>
            </w:r>
          </w:p>
        </w:tc>
        <w:tc>
          <w:tcPr>
            <w:tcW w:type="dxa" w:w="2160"/>
          </w:tcPr>
          <w:p>
            <w:r>
              <w:rPr>
                <w:sz w:val="19"/>
              </w:rPr>
              <w:t>~10-15%</w:t>
            </w:r>
          </w:p>
        </w:tc>
        <w:tc>
          <w:tcPr>
            <w:tcW w:type="dxa" w:w="2160"/>
          </w:tcPr>
          <w:p>
            <w:r>
              <w:rPr>
                <w:sz w:val="19"/>
              </w:rPr>
              <w:t>variabile, più spontanea nei periodi di spalla</w:t>
            </w:r>
          </w:p>
        </w:tc>
        <w:tc>
          <w:tcPr>
            <w:tcW w:type="dxa" w:w="2160"/>
          </w:tcPr>
          <w:p>
            <w:r>
              <w:rPr>
                <w:sz w:val="19"/>
              </w:rPr>
              <w:t>Vista mare dai balconi, accesso diretto piscina-spiaggia, serata romagnola come esperienza di coppia: leva relazionale, non solo la camera</w:t>
            </w:r>
          </w:p>
        </w:tc>
      </w:tr>
    </w:tbl>
    <w:p>
      <w:pPr>
        <w:spacing w:after="160"/>
      </w:pPr>
    </w:p>
    <w:p>
      <w:r>
        <w:t>Il target dichiarato sul sito resta valido come vetrina ma non deve assorbire budget proprio: pet-friendly e accessibilità restano differenzianti trasversali da mantenere visibili nei contenuti esistenti, senza diventare segmenti a sé nella pianificazione.</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Obiettivo</w:t>
            </w:r>
          </w:p>
        </w:tc>
        <w:tc>
          <w:tcPr>
            <w:tcW w:type="dxa" w:w="4320"/>
            <w:shd w:val="clear" w:color="auto" w:fill="2F5D62"/>
          </w:tcPr>
          <w:p>
            <w:r>
              <w:rPr>
                <w:b/>
                <w:color w:val="FFFFFF"/>
                <w:sz w:val="19"/>
              </w:rPr>
              <w:t>Target</w:t>
            </w:r>
          </w:p>
        </w:tc>
      </w:tr>
      <w:tr>
        <w:tc>
          <w:tcPr>
            <w:tcW w:type="dxa" w:w="4320"/>
          </w:tcPr>
          <w:p>
            <w:r>
              <w:rPr>
                <w:sz w:val="19"/>
              </w:rPr>
              <w:t>Copertura del lessico di prodotto (formule, piano famiglia, spiaggia inclusa) sulle pagine e nei contenuti dedicati alla famiglia</w:t>
            </w:r>
          </w:p>
        </w:tc>
        <w:tc>
          <w:tcPr>
            <w:tcW w:type="dxa" w:w="4320"/>
          </w:tcPr>
          <w:p>
            <w:r>
              <w:rPr>
                <w:sz w:val="19"/>
              </w:rPr>
              <w:t>100% delle pagine famiglia/offerte con lessico completo</w:t>
            </w:r>
          </w:p>
        </w:tc>
      </w:tr>
      <w:tr>
        <w:tc>
          <w:tcPr>
            <w:tcW w:type="dxa" w:w="4320"/>
            <w:shd w:val="clear" w:color="auto" w:fill="EEF2F1"/>
          </w:tcPr>
          <w:p>
            <w:r>
              <w:rPr>
                <w:sz w:val="19"/>
              </w:rPr>
              <w:t>Attivazione di un canale di riconoscimento per i clienti abituali</w:t>
            </w:r>
          </w:p>
        </w:tc>
        <w:tc>
          <w:tcPr>
            <w:tcW w:type="dxa" w:w="4320"/>
            <w:shd w:val="clear" w:color="auto" w:fill="EEF2F1"/>
          </w:tcPr>
          <w:p>
            <w:r>
              <w:rPr>
                <w:sz w:val="19"/>
              </w:rPr>
              <w:t>Obiettivo di processo: lanciare il pacchetto 'ospite fedele' (baseline retention non disponibile)</w:t>
            </w:r>
          </w:p>
        </w:tc>
      </w:tr>
      <w:tr>
        <w:tc>
          <w:tcPr>
            <w:tcW w:type="dxa" w:w="4320"/>
          </w:tcPr>
          <w:p>
            <w:r>
              <w:rPr>
                <w:sz w:val="19"/>
              </w:rPr>
              <w:t>Presidio contenutistico dedicato al segmento coppie</w:t>
            </w:r>
          </w:p>
        </w:tc>
        <w:tc>
          <w:tcPr>
            <w:tcW w:type="dxa" w:w="4320"/>
          </w:tcPr>
          <w:p>
            <w:r>
              <w:rPr>
                <w:sz w:val="19"/>
              </w:rPr>
              <w:t>Pubblicazione di una sezione/pagina relax-coppia entro la finestra di lavori indicata in roadmap (v. sez. 05)</w:t>
            </w:r>
          </w:p>
        </w:tc>
      </w:tr>
    </w:tbl>
    <w:p>
      <w:pPr>
        <w:spacing w:after="160"/>
      </w:pPr>
    </w:p>
    <w:p>
      <w:pPr>
        <w:spacing w:before="160" w:after="40"/>
      </w:pPr>
      <w:r>
        <w:rPr>
          <w:b/>
          <w:color w:val="2F5D62"/>
          <w:sz w:val="24"/>
        </w:rPr>
        <w:t>Azioni</w:t>
      </w:r>
    </w:p>
    <w:p>
      <w:pPr>
        <w:pStyle w:val="ListBullet"/>
      </w:pPr>
      <w:r>
        <w:t>Il target primario dichiarato coincide con la quota più consistente di reputazione misurata sulla famiglia: ogni pagina e contenuto rivolto a questo segmento va riscritto usando in modo esplicito il lessico di prodotto — formula (pensione completa/mezza pensione/all inclusive), piano famiglia con soglie d'età per la gratuità dei bambini, menzione dell'ombrellone e dei lettini inclusi in spiaggia, Mini Club e area bimbi in piscina. Un contenuto famiglia che non nomina questi elementi non converte, perché il visitatore in fase di validazione cerca esattamente quei dettagli operativi.</w:t>
      </w:r>
    </w:p>
    <w:p>
      <w:pPr>
        <w:pStyle w:val="ListBullet"/>
      </w:pPr>
      <w:r>
        <w:t>La quota di clienti abituali è oggi un comportamento spontaneo raccontato nelle recensioni, non un processo strutturato: senza un canale dedicato quella fedeltà resta un asset non capitalizzato. Va introdotto un pacchetto riservato agli ospiti di ritorno, con accesso prioritario alle date più richieste, comunicato attraverso i contatti diretti già raccolti in struttura, per trasformare il legame emotivo esistente in prenotazioni anticipate e dirette.</w:t>
      </w:r>
    </w:p>
    <w:p>
      <w:pPr>
        <w:pStyle w:val="ListBullet"/>
      </w:pPr>
      <w:r>
        <w:t>Il segmento coppie è oggi trattato solo genericamente sulla pagina camere: manca un contenuto che parli esplicitamente a chi cerca un soggiorno breve orientato al relax. Va creata una sezione dedicata che valorizzi vista mare, accesso diretto piscina-spiaggia e la serata romagnola come esperienza conviviale, per intercettare la domanda di coppia nei periodi di spalla in cui la pressione commerciale della famiglia è minore.</w:t>
      </w:r>
    </w:p>
    <w:p>
      <w:pPr>
        <w:pStyle w:val="ListBullet"/>
      </w:pPr>
      <w:r>
        <w:t>I profili minori dichiarati sul sito (viaggiatori singoli, appassionati di auto d'epoca, proprietari di animali) non hanno oggi una massa reputazionale che ne giustifichi un investimento dedicato: vanno mantenuti come menzione nei contenuti esistenti (in particolare il servizio pet-friendly gratuito, già apprezzato nelle recensioni ma poco valorizzato) senza sottrarre budget ai tre segmenti prioritari.</w:t>
      </w:r>
    </w:p>
    <w:p>
      <w:pPr>
        <w:spacing w:before="160" w:after="40"/>
      </w:pPr>
      <w:r>
        <w:rPr>
          <w:b/>
          <w:color w:val="2F5D62"/>
          <w:sz w:val="24"/>
        </w:rPr>
        <w:t>KPI</w:t>
      </w:r>
    </w:p>
    <w:p>
      <w:r>
        <w:t>Indicatori di processo e copertura per questa sezione: v. sez. 06 per i KPI numerici di misurazione complessiva.</w:t>
      </w:r>
    </w:p>
    <w:p>
      <w:pPr>
        <w:spacing w:before="160" w:after="40"/>
      </w:pPr>
      <w:r>
        <w:rPr>
          <w:b/>
          <w:color w:val="2F5D62"/>
          <w:sz w:val="24"/>
        </w:rPr>
        <w:t>Note esecutive</w:t>
      </w:r>
    </w:p>
    <w:p>
      <w:pPr>
        <w:pStyle w:val="ListBullet"/>
      </w:pPr>
      <w:r>
        <w:t>Il messaggio per la famiglia va coordinato con la produzione di contenuti fotografici del Mini Club e dell'area bimbi in stagione (v. sez. 05, raccolta materiale a struttura aperta).</w:t>
      </w:r>
    </w:p>
    <w:p>
      <w:pPr>
        <w:pStyle w:val="ListBullet"/>
      </w:pPr>
      <w:r>
        <w:t>Il pacchetto 'ospite fedele' va progettato insieme al lavoro di raccolta contatti diretti già segnalato come priorità trasversale: senza email/telefono popolati il canale di riattivazione non è eseguibile.</w:t>
      </w:r>
    </w:p>
    <w:p>
      <w:pPr>
        <w:pStyle w:val="ListBullet"/>
      </w:pPr>
      <w:r>
        <w:t>La quota di turisti stranieri nella reputazione misurata è oggi marginale: i mercati raggiungibili per volo diretto restano un'ipotesi da testare, non un segmento prioritario in questa sezione.</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32 keyword su 32 in gap (100%); 32820 ricerche/mese di domanda non presidiata. On-site: mancano dati strutturati per i rich result (breadcrumb, faq, review); title/meta/H1 da rifinire su https://www.adriabeachclub.it/it/magico-giugno-in-riviera-adriatica-offerta-all-inclusive, https://www.adriabeachclub.it/it/luglio-in-riviera-adriatica-offerta-imperdibile-con-spiaggia-inclusa, https://www.adriabeachclub.it/it/luglio-e-agosto-al-mare-in-romagna-senza-pensieri.</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69%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Canale diretto: consolidare la conversione e spingere la quota diretta. La pagina offerte esiste (https://www.adriabeachclub.it/offerte): ottimizzarla (schema Offer, CTA, prenota-prima).</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5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Non valutabile</w:t>
            </w:r>
          </w:p>
        </w:tc>
        <w:tc>
          <w:tcPr>
            <w:tcW w:type="dxa" w:w="1728"/>
            <w:shd w:val="clear" w:color="auto" w:fill="EEF2F1"/>
          </w:tcPr>
          <w:p>
            <w:r>
              <w:rPr>
                <w:sz w:val="19"/>
              </w:rPr>
              <w:t>bassa</w:t>
            </w:r>
          </w:p>
        </w:tc>
        <w:tc>
          <w:tcPr>
            <w:tcW w:type="dxa" w:w="1728"/>
            <w:shd w:val="clear" w:color="auto" w:fill="EEF2F1"/>
          </w:tcPr>
          <w:p>
            <w:r>
              <w:rPr>
                <w:sz w:val="19"/>
              </w:rPr>
              <w:t>Composizione della clientela non misurata: economia dei ripetenti non stimabile.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non rilevante.</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valutabile</w:t>
            </w:r>
          </w:p>
        </w:tc>
        <w:tc>
          <w:tcPr>
            <w:tcW w:type="dxa" w:w="1728"/>
            <w:shd w:val="clear" w:color="auto" w:fill="EEF2F1"/>
          </w:tcPr>
          <w:p>
            <w:r>
              <w:rPr>
                <w:sz w:val="19"/>
              </w:rPr>
              <w:t>bassa</w:t>
            </w:r>
          </w:p>
        </w:tc>
        <w:tc>
          <w:tcPr>
            <w:tcW w:type="dxa" w:w="1728"/>
            <w:shd w:val="clear" w:color="auto" w:fill="EEF2F1"/>
          </w:tcPr>
          <w:p>
            <w:r>
              <w:rPr>
                <w:sz w:val="19"/>
              </w:rPr>
              <w:t>Composizione della clientela (tipi di ospite) non misurata in questa diagnosi.</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Mantenere</w:t>
            </w:r>
          </w:p>
        </w:tc>
        <w:tc>
          <w:tcPr>
            <w:tcW w:type="dxa" w:w="1728"/>
          </w:tcPr>
          <w:p>
            <w:r>
              <w:rPr>
                <w:sz w:val="19"/>
              </w:rPr>
              <w:t>bassa</w:t>
            </w:r>
          </w:p>
        </w:tc>
        <w:tc>
          <w:tcPr>
            <w:tcW w:type="dxa" w:w="1728"/>
          </w:tcPr>
          <w:p>
            <w:r>
              <w:rPr>
                <w:sz w:val="19"/>
              </w:rPr>
              <w:t>Dati strutturati di attività locale presenti (con indirizzo): mantenere con gestione recensioni.</w:t>
            </w:r>
          </w:p>
        </w:tc>
        <w:tc>
          <w:tcPr>
            <w:tcW w:type="dxa" w:w="1728"/>
          </w:tcPr>
          <w:p>
            <w:r>
              <w:rPr>
                <w:sz w:val="19"/>
              </w:rPr>
              <w:t>—</w:t>
            </w:r>
          </w:p>
        </w:tc>
      </w:tr>
    </w:tbl>
    <w:p>
      <w:pPr>
        <w:spacing w:after="160"/>
      </w:pPr>
    </w:p>
    <w:p>
      <w:pPr>
        <w:spacing w:before="160" w:after="40"/>
      </w:pPr>
      <w:r>
        <w:rPr>
          <w:b/>
          <w:color w:val="2F5D62"/>
          <w:sz w:val="24"/>
        </w:rPr>
        <w:t>Matrice di canale</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Canale</w:t>
            </w:r>
          </w:p>
        </w:tc>
        <w:tc>
          <w:tcPr>
            <w:tcW w:type="dxa" w:w="1440"/>
            <w:shd w:val="clear" w:color="auto" w:fill="2F5D62"/>
          </w:tcPr>
          <w:p>
            <w:r>
              <w:rPr>
                <w:b/>
                <w:color w:val="FFFFFF"/>
                <w:sz w:val="19"/>
              </w:rPr>
              <w:t>Verdetto</w:t>
            </w:r>
          </w:p>
        </w:tc>
        <w:tc>
          <w:tcPr>
            <w:tcW w:type="dxa" w:w="1440"/>
            <w:shd w:val="clear" w:color="auto" w:fill="2F5D62"/>
          </w:tcPr>
          <w:p>
            <w:r>
              <w:rPr>
                <w:b/>
                <w:color w:val="FFFFFF"/>
                <w:sz w:val="19"/>
              </w:rPr>
              <w:t>Priorità</w:t>
            </w:r>
          </w:p>
        </w:tc>
        <w:tc>
          <w:tcPr>
            <w:tcW w:type="dxa" w:w="1440"/>
            <w:shd w:val="clear" w:color="auto" w:fill="2F5D62"/>
          </w:tcPr>
          <w:p>
            <w:r>
              <w:rPr>
                <w:b/>
                <w:color w:val="FFFFFF"/>
                <w:sz w:val="19"/>
              </w:rPr>
              <w:t>Leva</w:t>
            </w:r>
          </w:p>
        </w:tc>
        <w:tc>
          <w:tcPr>
            <w:tcW w:type="dxa" w:w="1440"/>
            <w:shd w:val="clear" w:color="auto" w:fill="2F5D62"/>
          </w:tcPr>
          <w:p>
            <w:r>
              <w:rPr>
                <w:b/>
                <w:color w:val="FFFFFF"/>
                <w:sz w:val="19"/>
              </w:rPr>
              <w:t>Evidenza</w:t>
            </w:r>
          </w:p>
        </w:tc>
        <w:tc>
          <w:tcPr>
            <w:tcW w:type="dxa" w:w="1440"/>
            <w:shd w:val="clear" w:color="auto" w:fill="2F5D62"/>
          </w:tcPr>
          <w:p>
            <w:r>
              <w:rPr>
                <w:b/>
                <w:color w:val="FFFFFF"/>
                <w:sz w:val="19"/>
              </w:rPr>
              <w:t>Dipendenze</w:t>
            </w:r>
          </w:p>
        </w:tc>
      </w:tr>
      <w:tr>
        <w:tc>
          <w:tcPr>
            <w:tcW w:type="dxa" w:w="1440"/>
          </w:tcPr>
          <w:p>
            <w:r>
              <w:rPr>
                <w:sz w:val="19"/>
              </w:rPr>
              <w:t>SEO organico / sito</w:t>
            </w:r>
          </w:p>
        </w:tc>
        <w:tc>
          <w:tcPr>
            <w:tcW w:type="dxa" w:w="1440"/>
          </w:tcPr>
          <w:p>
            <w:r>
              <w:rPr>
                <w:sz w:val="19"/>
              </w:rPr>
              <w:t>Agire ora</w:t>
            </w:r>
          </w:p>
        </w:tc>
        <w:tc>
          <w:tcPr>
            <w:tcW w:type="dxa" w:w="1440"/>
          </w:tcPr>
          <w:p>
            <w:r>
              <w:rPr>
                <w:sz w:val="19"/>
              </w:rPr>
              <w:t>Alta</w:t>
            </w:r>
          </w:p>
        </w:tc>
        <w:tc>
          <w:tcPr>
            <w:tcW w:type="dxa" w:w="1440"/>
          </w:tcPr>
          <w:p>
            <w:r>
              <w:rPr>
                <w:sz w:val="19"/>
              </w:rPr>
              <w:t>Contenuti su formule e segmento famiglia</w:t>
            </w:r>
          </w:p>
        </w:tc>
        <w:tc>
          <w:tcPr>
            <w:tcW w:type="dxa" w:w="1440"/>
          </w:tcPr>
          <w:p>
            <w:r>
              <w:rPr>
                <w:sz w:val="19"/>
              </w:rPr>
              <w:t>0 keyword presidiate su 32 pertinenti, ~32.820/mese di domanda in gap</w:t>
            </w:r>
          </w:p>
        </w:tc>
        <w:tc>
          <w:tcPr>
            <w:tcW w:type="dxa" w:w="1440"/>
          </w:tcPr>
          <w:p>
            <w:r>
              <w:rPr>
                <w:sz w:val="19"/>
              </w:rPr>
              <w:t>Aggiornamento pagine esistenti (/piscina, /offerte, /camere)</w:t>
            </w:r>
          </w:p>
        </w:tc>
      </w:tr>
      <w:tr>
        <w:tc>
          <w:tcPr>
            <w:tcW w:type="dxa" w:w="1440"/>
            <w:shd w:val="clear" w:color="auto" w:fill="EEF2F1"/>
          </w:tcPr>
          <w:p>
            <w:r>
              <w:rPr>
                <w:sz w:val="19"/>
              </w:rPr>
              <w:t>Portali di destinazione (barnacle)</w:t>
            </w:r>
          </w:p>
        </w:tc>
        <w:tc>
          <w:tcPr>
            <w:tcW w:type="dxa" w:w="1440"/>
            <w:shd w:val="clear" w:color="auto" w:fill="EEF2F1"/>
          </w:tcPr>
          <w:p>
            <w:r>
              <w:rPr>
                <w:sz w:val="19"/>
              </w:rPr>
              <w:t>Agire ora</w:t>
            </w:r>
          </w:p>
        </w:tc>
        <w:tc>
          <w:tcPr>
            <w:tcW w:type="dxa" w:w="1440"/>
            <w:shd w:val="clear" w:color="auto" w:fill="EEF2F1"/>
          </w:tcPr>
          <w:p>
            <w:r>
              <w:rPr>
                <w:sz w:val="19"/>
              </w:rPr>
              <w:t>Alta</w:t>
            </w:r>
          </w:p>
        </w:tc>
        <w:tc>
          <w:tcPr>
            <w:tcW w:type="dxa" w:w="1440"/>
            <w:shd w:val="clear" w:color="auto" w:fill="EEF2F1"/>
          </w:tcPr>
          <w:p>
            <w:r>
              <w:rPr>
                <w:sz w:val="19"/>
              </w:rPr>
              <w:t>Presidio scheda su portali locali</w:t>
            </w:r>
          </w:p>
        </w:tc>
        <w:tc>
          <w:tcPr>
            <w:tcW w:type="dxa" w:w="1440"/>
            <w:shd w:val="clear" w:color="auto" w:fill="EEF2F1"/>
          </w:tcPr>
          <w:p>
            <w:r>
              <w:rPr>
                <w:sz w:val="19"/>
              </w:rPr>
              <w:t>cesenaticoinhotel.com ZA 45, 47 kw in comune; ricercahotel.com ZA 39, 9 kw in comune</w:t>
            </w:r>
          </w:p>
        </w:tc>
        <w:tc>
          <w:tcPr>
            <w:tcW w:type="dxa" w:w="1440"/>
            <w:shd w:val="clear" w:color="auto" w:fill="EEF2F1"/>
          </w:tcPr>
          <w:p>
            <w:r>
              <w:rPr>
                <w:sz w:val="19"/>
              </w:rPr>
              <w:t>Dati struttura coerenti (nome, indirizzo, link al sito)</w:t>
            </w:r>
          </w:p>
        </w:tc>
      </w:tr>
      <w:tr>
        <w:tc>
          <w:tcPr>
            <w:tcW w:type="dxa" w:w="1440"/>
          </w:tcPr>
          <w:p>
            <w:r>
              <w:rPr>
                <w:sz w:val="19"/>
              </w:rPr>
              <w:t>Metasearch / Google Hotel Ads</w:t>
            </w:r>
          </w:p>
        </w:tc>
        <w:tc>
          <w:tcPr>
            <w:tcW w:type="dxa" w:w="1440"/>
          </w:tcPr>
          <w:p>
            <w:r>
              <w:rPr>
                <w:sz w:val="19"/>
              </w:rPr>
              <w:t>Condizionato</w:t>
            </w:r>
          </w:p>
        </w:tc>
        <w:tc>
          <w:tcPr>
            <w:tcW w:type="dxa" w:w="1440"/>
          </w:tcPr>
          <w:p>
            <w:r>
              <w:rPr>
                <w:sz w:val="19"/>
              </w:rPr>
              <w:t>Media</w:t>
            </w:r>
          </w:p>
        </w:tc>
        <w:tc>
          <w:tcPr>
            <w:tcW w:type="dxa" w:w="1440"/>
          </w:tcPr>
          <w:p>
            <w:r>
              <w:rPr>
                <w:sz w:val="19"/>
              </w:rPr>
              <w:t>Visibilità comparativa su domanda ad alto intent</w:t>
            </w:r>
          </w:p>
        </w:tc>
        <w:tc>
          <w:tcPr>
            <w:tcW w:type="dxa" w:w="1440"/>
          </w:tcPr>
          <w:p>
            <w:r>
              <w:rPr>
                <w:sz w:val="19"/>
              </w:rPr>
              <w:t>Nessun dato su parità tariffaria diretto vs OTA</w:t>
            </w:r>
          </w:p>
        </w:tc>
        <w:tc>
          <w:tcPr>
            <w:tcW w:type="dxa" w:w="1440"/>
          </w:tcPr>
          <w:p>
            <w:r>
              <w:rPr>
                <w:sz w:val="19"/>
              </w:rPr>
              <w:t>Audit di parità tariffaria propedeutico</w:t>
            </w:r>
          </w:p>
        </w:tc>
      </w:tr>
      <w:tr>
        <w:tc>
          <w:tcPr>
            <w:tcW w:type="dxa" w:w="1440"/>
            <w:shd w:val="clear" w:color="auto" w:fill="EEF2F1"/>
          </w:tcPr>
          <w:p>
            <w:r>
              <w:rPr>
                <w:sz w:val="19"/>
              </w:rPr>
              <w:t>OTA (Booking, Expedia, Trivago)</w:t>
            </w:r>
          </w:p>
        </w:tc>
        <w:tc>
          <w:tcPr>
            <w:tcW w:type="dxa" w:w="1440"/>
            <w:shd w:val="clear" w:color="auto" w:fill="EEF2F1"/>
          </w:tcPr>
          <w:p>
            <w:r>
              <w:rPr>
                <w:sz w:val="19"/>
              </w:rPr>
              <w:t>Mantenere</w:t>
            </w:r>
          </w:p>
        </w:tc>
        <w:tc>
          <w:tcPr>
            <w:tcW w:type="dxa" w:w="1440"/>
            <w:shd w:val="clear" w:color="auto" w:fill="EEF2F1"/>
          </w:tcPr>
          <w:p>
            <w:r>
              <w:rPr>
                <w:sz w:val="19"/>
              </w:rPr>
              <w:t>Media</w:t>
            </w:r>
          </w:p>
        </w:tc>
        <w:tc>
          <w:tcPr>
            <w:tcW w:type="dxa" w:w="1440"/>
            <w:shd w:val="clear" w:color="auto" w:fill="EEF2F1"/>
          </w:tcPr>
          <w:p>
            <w:r>
              <w:rPr>
                <w:sz w:val="19"/>
              </w:rPr>
              <w:t>Presidio scheda e coerenza contenuti</w:t>
            </w:r>
          </w:p>
        </w:tc>
        <w:tc>
          <w:tcPr>
            <w:tcW w:type="dxa" w:w="1440"/>
            <w:shd w:val="clear" w:color="auto" w:fill="EEF2F1"/>
          </w:tcPr>
          <w:p>
            <w:r>
              <w:rPr>
                <w:sz w:val="19"/>
              </w:rPr>
              <w:t>Trivago 832 recensioni, Expedia 17: volumi molto disomogenei tra portali</w:t>
            </w:r>
          </w:p>
        </w:tc>
        <w:tc>
          <w:tcPr>
            <w:tcW w:type="dxa" w:w="1440"/>
            <w:shd w:val="clear" w:color="auto" w:fill="EEF2F1"/>
          </w:tcPr>
          <w:p>
            <w:r>
              <w:rPr>
                <w:sz w:val="19"/>
              </w:rPr>
              <w:t>Nessuna azione di spinta al diretto senza audit parità</w:t>
            </w:r>
          </w:p>
        </w:tc>
      </w:tr>
      <w:tr>
        <w:tc>
          <w:tcPr>
            <w:tcW w:type="dxa" w:w="1440"/>
          </w:tcPr>
          <w:p>
            <w:r>
              <w:rPr>
                <w:sz w:val="19"/>
              </w:rPr>
              <w:t>CRM / email marketing</w:t>
            </w:r>
          </w:p>
        </w:tc>
        <w:tc>
          <w:tcPr>
            <w:tcW w:type="dxa" w:w="1440"/>
          </w:tcPr>
          <w:p>
            <w:r>
              <w:rPr>
                <w:sz w:val="19"/>
              </w:rPr>
              <w:t>Agire ora</w:t>
            </w:r>
          </w:p>
        </w:tc>
        <w:tc>
          <w:tcPr>
            <w:tcW w:type="dxa" w:w="1440"/>
          </w:tcPr>
          <w:p>
            <w:r>
              <w:rPr>
                <w:sz w:val="19"/>
              </w:rPr>
              <w:t>Alta</w:t>
            </w:r>
          </w:p>
        </w:tc>
        <w:tc>
          <w:tcPr>
            <w:tcW w:type="dxa" w:w="1440"/>
          </w:tcPr>
          <w:p>
            <w:r>
              <w:rPr>
                <w:sz w:val="19"/>
              </w:rPr>
              <w:t>Attivazione loyalty loop già esistente</w:t>
            </w:r>
          </w:p>
        </w:tc>
        <w:tc>
          <w:tcPr>
            <w:tcW w:type="dxa" w:w="1440"/>
          </w:tcPr>
          <w:p>
            <w:r>
              <w:rPr>
                <w:sz w:val="19"/>
              </w:rPr>
              <w:t>9% delle recensioni cita ritorni ripetuti nel tempo; nessun CRM documentato</w:t>
            </w:r>
          </w:p>
        </w:tc>
        <w:tc>
          <w:tcPr>
            <w:tcW w:type="dxa" w:w="1440"/>
          </w:tcPr>
          <w:p>
            <w:r>
              <w:rPr>
                <w:sz w:val="19"/>
              </w:rPr>
              <w:t>Raccolta email post-soggiorno da impostare</w:t>
            </w:r>
          </w:p>
        </w:tc>
      </w:tr>
      <w:tr>
        <w:tc>
          <w:tcPr>
            <w:tcW w:type="dxa" w:w="1440"/>
            <w:shd w:val="clear" w:color="auto" w:fill="EEF2F1"/>
          </w:tcPr>
          <w:p>
            <w:r>
              <w:rPr>
                <w:sz w:val="19"/>
              </w:rPr>
              <w:t>Assistenti AI (AEO)</w:t>
            </w:r>
          </w:p>
        </w:tc>
        <w:tc>
          <w:tcPr>
            <w:tcW w:type="dxa" w:w="1440"/>
            <w:shd w:val="clear" w:color="auto" w:fill="EEF2F1"/>
          </w:tcPr>
          <w:p>
            <w:r>
              <w:rPr>
                <w:sz w:val="19"/>
              </w:rPr>
              <w:t>Da rimisurare</w:t>
            </w:r>
          </w:p>
        </w:tc>
        <w:tc>
          <w:tcPr>
            <w:tcW w:type="dxa" w:w="1440"/>
            <w:shd w:val="clear" w:color="auto" w:fill="EEF2F1"/>
          </w:tcPr>
          <w:p>
            <w:r>
              <w:rPr>
                <w:sz w:val="19"/>
              </w:rPr>
              <w:t>Bassa (per ora)</w:t>
            </w:r>
          </w:p>
        </w:tc>
        <w:tc>
          <w:tcPr>
            <w:tcW w:type="dxa" w:w="1440"/>
            <w:shd w:val="clear" w:color="auto" w:fill="EEF2F1"/>
          </w:tcPr>
          <w:p>
            <w:r>
              <w:rPr>
                <w:sz w:val="19"/>
              </w:rPr>
              <w:t>AI-readiness dei contenuti strutturati</w:t>
            </w:r>
          </w:p>
        </w:tc>
        <w:tc>
          <w:tcPr>
            <w:tcW w:type="dxa" w:w="1440"/>
            <w:shd w:val="clear" w:color="auto" w:fill="EEF2F1"/>
          </w:tcPr>
          <w:p>
            <w:r>
              <w:rPr>
                <w:sz w:val="19"/>
              </w:rPr>
              <w:t>Audit parziale: solo OpenAI misurato, esito assente su tutti i segmenti testati</w:t>
            </w:r>
          </w:p>
        </w:tc>
        <w:tc>
          <w:tcPr>
            <w:tcW w:type="dxa" w:w="1440"/>
            <w:shd w:val="clear" w:color="auto" w:fill="EEF2F1"/>
          </w:tcPr>
          <w:p>
            <w:r>
              <w:rPr>
                <w:sz w:val="19"/>
              </w:rPr>
              <w:t>Audit completo su Gemini e Perplexity con chiavi API valide</w:t>
            </w:r>
          </w:p>
        </w:tc>
      </w:tr>
      <w:tr>
        <w:tc>
          <w:tcPr>
            <w:tcW w:type="dxa" w:w="1440"/>
          </w:tcPr>
          <w:p>
            <w:r>
              <w:rPr>
                <w:sz w:val="19"/>
              </w:rPr>
              <w:t>Social (Instagram, Facebook)</w:t>
            </w:r>
          </w:p>
        </w:tc>
        <w:tc>
          <w:tcPr>
            <w:tcW w:type="dxa" w:w="1440"/>
          </w:tcPr>
          <w:p>
            <w:r>
              <w:rPr>
                <w:sz w:val="19"/>
              </w:rPr>
              <w:t>Da verificare</w:t>
            </w:r>
          </w:p>
        </w:tc>
        <w:tc>
          <w:tcPr>
            <w:tcW w:type="dxa" w:w="1440"/>
          </w:tcPr>
          <w:p>
            <w:r>
              <w:rPr>
                <w:sz w:val="19"/>
              </w:rPr>
              <w:t>Bassa (per ora)</w:t>
            </w:r>
          </w:p>
        </w:tc>
        <w:tc>
          <w:tcPr>
            <w:tcW w:type="dxa" w:w="1440"/>
          </w:tcPr>
          <w:p>
            <w:r>
              <w:rPr>
                <w:sz w:val="19"/>
              </w:rPr>
              <w:t>Coerenza contenuti con segmenti prioritari</w:t>
            </w:r>
          </w:p>
        </w:tc>
        <w:tc>
          <w:tcPr>
            <w:tcW w:type="dxa" w:w="1440"/>
          </w:tcPr>
          <w:p>
            <w:r>
              <w:rPr>
                <w:sz w:val="19"/>
              </w:rPr>
              <w:t>Presenza rilevata ma nessun dato su attività/uso reale</w:t>
            </w:r>
          </w:p>
        </w:tc>
        <w:tc>
          <w:tcPr>
            <w:tcW w:type="dxa" w:w="1440"/>
          </w:tcPr>
          <w:p>
            <w:r>
              <w:rPr>
                <w:sz w:val="19"/>
              </w:rPr>
              <w:t>Audit di presidio e frequenza pubblicazione</w:t>
            </w:r>
          </w:p>
        </w:tc>
      </w:tr>
    </w:tbl>
    <w:p>
      <w:pPr>
        <w:spacing w:after="160"/>
      </w:pPr>
    </w:p>
    <w:p>
      <w:r>
        <w:t>La priorità operativa è chiudere il vuoto tra reputazione solida e visibilità pressoché nulla: il sito e i portali di destinazione sono i due canali su cui si può agire subito, senza dipendenze esterne, mentre metasearch resta sospeso a un audit di parità e l'AEO a una rimisurazione tecnica. Il CRM entra in questa fase core perché il comportamento di ritorno è già misurato nella reputazione e manca solo l'infrastruttura che lo sistematizzi: è la leva a più basso rischio e più alto ritorno relativo, perché lavora su domanda già acquisita invece che da conquistare.</w:t>
      </w:r>
    </w:p>
    <w:p>
      <w:pPr>
        <w:spacing w:before="160" w:after="40"/>
      </w:pPr>
      <w:r>
        <w:rPr>
          <w:b/>
          <w:color w:val="2F5D62"/>
          <w:sz w:val="24"/>
        </w:rPr>
        <w:t>Obiettivi misurabili</w:t>
      </w:r>
    </w:p>
    <w:p>
      <w:pPr>
        <w:pStyle w:val="ListBullet"/>
      </w:pPr>
      <w:r>
        <w:t>Presidiare in top 10 un primo nucleo di keyword non-brand ad alto volume tra quelle in gap (v. sez. 06 per il dettaglio KPI)</w:t>
      </w:r>
    </w:p>
    <w:p>
      <w:pPr>
        <w:pStyle w:val="ListBullet"/>
      </w:pPr>
      <w:r>
        <w:t>Attivare la scheda su entrambi i portali di destinazione individuati, con dati anagrafici e link coerenti</w:t>
      </w:r>
    </w:p>
    <w:p>
      <w:pPr>
        <w:pStyle w:val="ListBullet"/>
      </w:pPr>
      <w:r>
        <w:t>Impostare la raccolta email post-soggiorno come obiettivo di processo (baseline oggi non disponibile)</w:t>
      </w:r>
    </w:p>
    <w:p>
      <w:pPr>
        <w:pStyle w:val="ListBullet"/>
      </w:pPr>
      <w:r>
        <w:t>Completare l'audit di parità tariffaria diretto vs OTA/metasearch come precondizione a qualunque investimento sul canale diretto</w:t>
      </w:r>
    </w:p>
    <w:p>
      <w:pPr>
        <w:spacing w:before="160" w:after="40"/>
      </w:pPr>
      <w:r>
        <w:rPr>
          <w:b/>
          <w:color w:val="2F5D62"/>
          <w:sz w:val="24"/>
        </w:rPr>
        <w:t>Azioni</w:t>
      </w:r>
    </w:p>
    <w:p>
      <w:r>
        <w:t>Il sito è oggi ben posizionato solo sulle query di brand: l'80% delle keyword competitor non vede la struttura comparire, e questo significa che ogni euro di domanda non-brand transita oggi per intero attraverso intermediari. L'azione è concentrare i contenuti sulle pagine già indicizzate e con schema attivo (/piscina, /offerte, /camere, /animazione) intorno al lessico di prodotto — formule, piano famiglia, spiaggia inclusa — così da intercettare la domanda stagionale su piscina e all inclusive già rilevata in gap, prima che si apra la stagione di prenotazione dei mercati esteri di cui si tratta in sezione 05.</w:t>
      </w:r>
    </w:p>
    <w:p>
      <w:r>
        <w:t>I due portali di destinazione condividono una parte non marginale della domanda organica con il sito ufficiale, con un'autorità di dominio superiore alla struttura: questo rende la strategia barnacle più efficiente di una sfida diretta in SERP. L'azione è verificare e aggiornare le schede su entrambi i portali — nome, indirizzo, servizi, link al sito — per intercettare la domanda locale che già li considera rilevanti, con un impegno contenuto e senza competere sull'autorità di dominio.</w:t>
      </w:r>
    </w:p>
    <w:p>
      <w:r>
        <w:t>Il comportamento di ritorno è già presente nella base clienti ma non è sostenuto da alcuna infrastruttura di retention: manca oggi un canale che trasformi la fedeltà spontanea in una sequenza ripetibile. L'azione è introdurre la raccolta email post-soggiorno e una comunicazione stagionale mirata ai clienti abituali, propedeutica anche alle azioni di riapertura e prenotazione anticipata trattate in sezione 05: è il canale a minor rischio perché lavora su una relazione già stabilita, non su acquisizione nuova.</w:t>
      </w:r>
    </w:p>
    <w:p>
      <w:r>
        <w:t>Su metasearch e sulla spinta al canale diretto manca oggi il dato essenziale per decidere: senza sapere se il prezzo esposto in parallelo agli OTA sia competitivo, qualunque investimento in campagne di visibilità comparativa rischia di finanziare clic che poi convertono comunque sul portale. L'azione è eseguire l'audit di parità prima di allocare budget su questo canale, mantenendo nel frattempo gli OTA come canale gestito e non come bersaglio da ridimensionare.</w:t>
      </w:r>
    </w:p>
    <w:p>
      <w:r>
        <w:t>Sull'AEO il quadro è tecnicamente incompleto — un solo assistente misurato su tre, con esito assente sui segmenti testati — e non consente ancora un giudizio operativo: trattarlo come priorità bassa non equivale a ignorarlo, ma a subordinarlo alla ripetizione dell'audit con copertura tecnica completa, mentre nel frattempo si rafforzano i prerequisiti di leggibilità dei contenuti già in corso sul fronte SEO.</w:t>
      </w:r>
    </w:p>
    <w:p>
      <w:pPr>
        <w:spacing w:before="160" w:after="40"/>
      </w:pPr>
      <w:r>
        <w:rPr>
          <w:b/>
          <w:color w:val="2F5D62"/>
          <w:sz w:val="24"/>
        </w:rPr>
        <w:t>KPI</w:t>
      </w:r>
    </w:p>
    <w:p>
      <w:r>
        <w:t>I KPI numerici di canale sono raccolti in sezione 06; qui si segnala solo che ciascuna azione (presidio keyword, attivazione portali, raccolta email, audit di parità) genera un proprio indicatore di avanzamento da lì monitorare.</w:t>
      </w:r>
    </w:p>
    <w:p>
      <w:pPr>
        <w:spacing w:before="160" w:after="40"/>
      </w:pPr>
      <w:r>
        <w:rPr>
          <w:b/>
          <w:color w:val="2F5D62"/>
          <w:sz w:val="24"/>
        </w:rPr>
        <w:t>Note esecutive</w:t>
      </w:r>
    </w:p>
    <w:p>
      <w:pPr>
        <w:pStyle w:val="ListBullet"/>
      </w:pPr>
      <w:r>
        <w:t>L'audit di parità tariffaria e la rimisurazione AEO sono precondizioni, non azioni parallele: vanno completate prima di allocare budget su metasearch o su contenuti ottimizzati per assistenti AI</w:t>
      </w:r>
    </w:p>
    <w:p>
      <w:pPr>
        <w:pStyle w:val="ListBullet"/>
      </w:pPr>
      <w:r>
        <w:t>Il lavoro sui contenuti di prodotto (formule, piano famiglia, spiaggia inclusa) va sincronizzato con le pagine già dotate di dati strutturati, evitando di aprire nuove sezioni prima di aver saturato quelle esistenti</w:t>
      </w:r>
    </w:p>
    <w:p>
      <w:pPr>
        <w:pStyle w:val="ListBullet"/>
      </w:pPr>
      <w:r>
        <w:t>L'attivazione del CRM richiede una scelta di strumento e un processo di raccolta consenso: è un input operativo da definire con la struttura, non solo una scelta di canale</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pPr>
        <w:spacing w:before="160" w:after="40"/>
      </w:pPr>
      <w:r>
        <w:rPr>
          <w:b/>
          <w:color w:val="2F5D62"/>
          <w:sz w:val="24"/>
        </w:rPr>
        <w:t>Mercati raggiungibili per volo diretto (decision record — connettività aerea)</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rPr>
          <w:tblHeader w:val="true"/>
        </w:trPr>
        <w:tc>
          <w:tcPr>
            <w:tcW w:type="dxa" w:w="1440"/>
            <w:shd w:val="clear" w:color="auto" w:fill="2F5D62"/>
          </w:tcPr>
          <w:p>
            <w:r>
              <w:rPr>
                <w:b/>
                <w:color w:val="FFFFFF"/>
                <w:sz w:val="19"/>
              </w:rPr>
              <w:t>Mercato</w:t>
            </w:r>
          </w:p>
        </w:tc>
        <w:tc>
          <w:tcPr>
            <w:tcW w:type="dxa" w:w="1440"/>
            <w:shd w:val="clear" w:color="auto" w:fill="2F5D62"/>
          </w:tcPr>
          <w:p>
            <w:r>
              <w:rPr>
                <w:b/>
                <w:color w:val="FFFFFF"/>
                <w:sz w:val="19"/>
              </w:rPr>
              <w:t>Lingua</w:t>
            </w:r>
          </w:p>
        </w:tc>
        <w:tc>
          <w:tcPr>
            <w:tcW w:type="dxa" w:w="1440"/>
            <w:shd w:val="clear" w:color="auto" w:fill="2F5D62"/>
          </w:tcPr>
          <w:p>
            <w:r>
              <w:rPr>
                <w:b/>
                <w:color w:val="FFFFFF"/>
                <w:sz w:val="19"/>
              </w:rPr>
              <w:t>Stagionalità</w:t>
            </w:r>
          </w:p>
        </w:tc>
        <w:tc>
          <w:tcPr>
            <w:tcW w:type="dxa" w:w="1440"/>
            <w:shd w:val="clear" w:color="auto" w:fill="2F5D62"/>
          </w:tcPr>
          <w:p>
            <w:r>
              <w:rPr>
                <w:b/>
                <w:color w:val="FFFFFF"/>
                <w:sz w:val="19"/>
              </w:rPr>
              <w:t>Frequenza</w:t>
            </w:r>
          </w:p>
        </w:tc>
        <w:tc>
          <w:tcPr>
            <w:tcW w:type="dxa" w:w="1440"/>
            <w:shd w:val="clear" w:color="auto" w:fill="2F5D62"/>
          </w:tcPr>
          <w:p>
            <w:r>
              <w:rPr>
                <w:b/>
                <w:color w:val="FFFFFF"/>
                <w:sz w:val="19"/>
              </w:rPr>
              <w:t>Voli/mese</w:t>
            </w:r>
          </w:p>
        </w:tc>
        <w:tc>
          <w:tcPr>
            <w:tcW w:type="dxa" w:w="1440"/>
            <w:shd w:val="clear" w:color="auto" w:fill="2F5D62"/>
          </w:tcPr>
          <w:p>
            <w:r>
              <w:rPr>
                <w:b/>
                <w:color w:val="FFFFFF"/>
                <w:sz w:val="19"/>
              </w:rPr>
              <w:t>Prova (città · compagnia)</w:t>
            </w:r>
          </w:p>
        </w:tc>
      </w:tr>
      <w:tr>
        <w:tc>
          <w:tcPr>
            <w:tcW w:type="dxa" w:w="1440"/>
          </w:tcPr>
          <w:p>
            <w:r>
              <w:rPr>
                <w:sz w:val="19"/>
              </w:rPr>
              <w:t>United Kingdom (opportunità)</w:t>
            </w:r>
          </w:p>
        </w:tc>
        <w:tc>
          <w:tcPr>
            <w:tcW w:type="dxa" w:w="1440"/>
          </w:tcPr>
          <w:p>
            <w:r>
              <w:rPr>
                <w:sz w:val="19"/>
              </w:rPr>
              <w:t>inglese</w:t>
            </w:r>
          </w:p>
        </w:tc>
        <w:tc>
          <w:tcPr>
            <w:tcW w:type="dxa" w:w="1440"/>
          </w:tcPr>
          <w:p>
            <w:r>
              <w:rPr>
                <w:sz w:val="19"/>
              </w:rPr>
              <w:t>Tutto l'anno</w:t>
            </w:r>
          </w:p>
        </w:tc>
        <w:tc>
          <w:tcPr>
            <w:tcW w:type="dxa" w:w="1440"/>
          </w:tcPr>
          <w:p>
            <w:r>
              <w:rPr>
                <w:sz w:val="19"/>
              </w:rPr>
              <w:t>giornaliero</w:t>
            </w:r>
          </w:p>
        </w:tc>
        <w:tc>
          <w:tcPr>
            <w:tcW w:type="dxa" w:w="1440"/>
          </w:tcPr>
          <w:p>
            <w:r>
              <w:rPr>
                <w:sz w:val="19"/>
              </w:rPr>
              <w:t>50</w:t>
            </w:r>
          </w:p>
        </w:tc>
        <w:tc>
          <w:tcPr>
            <w:tcW w:type="dxa" w:w="1440"/>
          </w:tcPr>
          <w:p>
            <w:r>
              <w:rPr>
                <w:sz w:val="19"/>
              </w:rPr>
              <w:t>London Stansted (35/mese); London Heathrow (5/mese)</w:t>
            </w:r>
          </w:p>
        </w:tc>
      </w:tr>
      <w:tr>
        <w:tc>
          <w:tcPr>
            <w:tcW w:type="dxa" w:w="1440"/>
            <w:shd w:val="clear" w:color="auto" w:fill="EEF2F1"/>
          </w:tcPr>
          <w:p>
            <w:r>
              <w:rPr>
                <w:sz w:val="19"/>
              </w:rPr>
              <w:t>Poland (opportunità)</w:t>
            </w:r>
          </w:p>
        </w:tc>
        <w:tc>
          <w:tcPr>
            <w:tcW w:type="dxa" w:w="1440"/>
            <w:shd w:val="clear" w:color="auto" w:fill="EEF2F1"/>
          </w:tcPr>
          <w:p>
            <w:r>
              <w:rPr>
                <w:sz w:val="19"/>
              </w:rPr>
              <w:t>polacco</w:t>
            </w:r>
          </w:p>
        </w:tc>
        <w:tc>
          <w:tcPr>
            <w:tcW w:type="dxa" w:w="1440"/>
            <w:shd w:val="clear" w:color="auto" w:fill="EEF2F1"/>
          </w:tcPr>
          <w:p>
            <w:r>
              <w:rPr>
                <w:sz w:val="19"/>
              </w:rPr>
              <w:t>Prevalentemente stagionale</w:t>
            </w:r>
          </w:p>
        </w:tc>
        <w:tc>
          <w:tcPr>
            <w:tcW w:type="dxa" w:w="1440"/>
            <w:shd w:val="clear" w:color="auto" w:fill="EEF2F1"/>
          </w:tcPr>
          <w:p>
            <w:r>
              <w:rPr>
                <w:sz w:val="19"/>
              </w:rPr>
              <w:t>giornaliero</w:t>
            </w:r>
          </w:p>
        </w:tc>
        <w:tc>
          <w:tcPr>
            <w:tcW w:type="dxa" w:w="1440"/>
            <w:shd w:val="clear" w:color="auto" w:fill="EEF2F1"/>
          </w:tcPr>
          <w:p>
            <w:r>
              <w:rPr>
                <w:sz w:val="19"/>
              </w:rPr>
              <w:t>33</w:t>
            </w:r>
          </w:p>
        </w:tc>
        <w:tc>
          <w:tcPr>
            <w:tcW w:type="dxa" w:w="1440"/>
            <w:shd w:val="clear" w:color="auto" w:fill="EEF2F1"/>
          </w:tcPr>
          <w:p>
            <w:r>
              <w:rPr>
                <w:sz w:val="19"/>
              </w:rPr>
              <w:t>Krakow (21/mese); Warsaw (8/mese)</w:t>
            </w:r>
          </w:p>
        </w:tc>
      </w:tr>
      <w:tr>
        <w:tc>
          <w:tcPr>
            <w:tcW w:type="dxa" w:w="1440"/>
          </w:tcPr>
          <w:p>
            <w:r>
              <w:rPr>
                <w:sz w:val="19"/>
              </w:rPr>
              <w:t>Germany (opportunità)</w:t>
            </w:r>
          </w:p>
        </w:tc>
        <w:tc>
          <w:tcPr>
            <w:tcW w:type="dxa" w:w="1440"/>
          </w:tcPr>
          <w:p>
            <w:r>
              <w:rPr>
                <w:sz w:val="19"/>
              </w:rPr>
              <w:t>tedesco</w:t>
            </w:r>
          </w:p>
        </w:tc>
        <w:tc>
          <w:tcPr>
            <w:tcW w:type="dxa" w:w="1440"/>
          </w:tcPr>
          <w:p>
            <w:r>
              <w:rPr>
                <w:sz w:val="19"/>
              </w:rPr>
              <w:t>Prevalentemente stagionale (settembre→ottobre)</w:t>
            </w:r>
          </w:p>
        </w:tc>
        <w:tc>
          <w:tcPr>
            <w:tcW w:type="dxa" w:w="1440"/>
          </w:tcPr>
          <w:p>
            <w:r>
              <w:rPr>
                <w:sz w:val="19"/>
              </w:rPr>
              <w:t>più volte a settimana</w:t>
            </w:r>
          </w:p>
        </w:tc>
        <w:tc>
          <w:tcPr>
            <w:tcW w:type="dxa" w:w="1440"/>
          </w:tcPr>
          <w:p>
            <w:r>
              <w:rPr>
                <w:sz w:val="19"/>
              </w:rPr>
              <w:t>24</w:t>
            </w:r>
          </w:p>
        </w:tc>
        <w:tc>
          <w:tcPr>
            <w:tcW w:type="dxa" w:w="1440"/>
          </w:tcPr>
          <w:p>
            <w:r>
              <w:rPr>
                <w:sz w:val="19"/>
              </w:rPr>
              <w:t>Munich · Air Dolomiti (14/mese); Cologne-Bonn (6/mese)</w:t>
            </w:r>
          </w:p>
        </w:tc>
      </w:tr>
      <w:tr>
        <w:tc>
          <w:tcPr>
            <w:tcW w:type="dxa" w:w="1440"/>
            <w:shd w:val="clear" w:color="auto" w:fill="EEF2F1"/>
          </w:tcPr>
          <w:p>
            <w:r>
              <w:rPr>
                <w:sz w:val="19"/>
              </w:rPr>
              <w:t>Albania (opportunità)</w:t>
            </w:r>
          </w:p>
        </w:tc>
        <w:tc>
          <w:tcPr>
            <w:tcW w:type="dxa" w:w="1440"/>
            <w:shd w:val="clear" w:color="auto" w:fill="EEF2F1"/>
          </w:tcPr>
          <w:p>
            <w:r>
              <w:rPr>
                <w:sz w:val="19"/>
              </w:rPr>
              <w:t>albanese</w:t>
            </w:r>
          </w:p>
        </w:tc>
        <w:tc>
          <w:tcPr>
            <w:tcW w:type="dxa" w:w="1440"/>
            <w:shd w:val="clear" w:color="auto" w:fill="EEF2F1"/>
          </w:tcPr>
          <w:p>
            <w:r>
              <w:rPr>
                <w:sz w:val="19"/>
              </w:rPr>
              <w:t>Prevalentemente stagionale</w:t>
            </w:r>
          </w:p>
        </w:tc>
        <w:tc>
          <w:tcPr>
            <w:tcW w:type="dxa" w:w="1440"/>
            <w:shd w:val="clear" w:color="auto" w:fill="EEF2F1"/>
          </w:tcPr>
          <w:p>
            <w:r>
              <w:rPr>
                <w:sz w:val="19"/>
              </w:rPr>
              <w:t>più volte a settimana</w:t>
            </w:r>
          </w:p>
        </w:tc>
        <w:tc>
          <w:tcPr>
            <w:tcW w:type="dxa" w:w="1440"/>
            <w:shd w:val="clear" w:color="auto" w:fill="EEF2F1"/>
          </w:tcPr>
          <w:p>
            <w:r>
              <w:rPr>
                <w:sz w:val="19"/>
              </w:rPr>
              <w:t>23</w:t>
            </w:r>
          </w:p>
        </w:tc>
        <w:tc>
          <w:tcPr>
            <w:tcW w:type="dxa" w:w="1440"/>
            <w:shd w:val="clear" w:color="auto" w:fill="EEF2F1"/>
          </w:tcPr>
          <w:p>
            <w:r>
              <w:rPr>
                <w:sz w:val="19"/>
              </w:rPr>
              <w:t>Tirana (23/mese)</w:t>
            </w:r>
          </w:p>
        </w:tc>
      </w:tr>
      <w:tr>
        <w:tc>
          <w:tcPr>
            <w:tcW w:type="dxa" w:w="1440"/>
          </w:tcPr>
          <w:p>
            <w:r>
              <w:rPr>
                <w:sz w:val="19"/>
              </w:rPr>
              <w:t>France (opportunità)</w:t>
            </w:r>
          </w:p>
        </w:tc>
        <w:tc>
          <w:tcPr>
            <w:tcW w:type="dxa" w:w="1440"/>
          </w:tcPr>
          <w:p>
            <w:r>
              <w:rPr>
                <w:sz w:val="19"/>
              </w:rPr>
              <w:t>francese</w:t>
            </w:r>
          </w:p>
        </w:tc>
        <w:tc>
          <w:tcPr>
            <w:tcW w:type="dxa" w:w="1440"/>
          </w:tcPr>
          <w:p>
            <w:r>
              <w:rPr>
                <w:sz w:val="19"/>
              </w:rPr>
              <w:t>Prevalentemente stagionale (settembre→ottobre)</w:t>
            </w:r>
          </w:p>
        </w:tc>
        <w:tc>
          <w:tcPr>
            <w:tcW w:type="dxa" w:w="1440"/>
          </w:tcPr>
          <w:p>
            <w:r>
              <w:rPr>
                <w:sz w:val="19"/>
              </w:rPr>
              <w:t>più volte a settimana</w:t>
            </w:r>
          </w:p>
        </w:tc>
        <w:tc>
          <w:tcPr>
            <w:tcW w:type="dxa" w:w="1440"/>
          </w:tcPr>
          <w:p>
            <w:r>
              <w:rPr>
                <w:sz w:val="19"/>
              </w:rPr>
              <w:t>10</w:t>
            </w:r>
          </w:p>
        </w:tc>
        <w:tc>
          <w:tcPr>
            <w:tcW w:type="dxa" w:w="1440"/>
          </w:tcPr>
          <w:p>
            <w:r>
              <w:rPr>
                <w:sz w:val="19"/>
              </w:rPr>
              <w:t>Basel Mulhouse Freiburg · easyJet (5/mese); Paris (Orly) (5/mese)</w:t>
            </w:r>
          </w:p>
        </w:tc>
      </w:tr>
      <w:tr>
        <w:tc>
          <w:tcPr>
            <w:tcW w:type="dxa" w:w="1440"/>
            <w:shd w:val="clear" w:color="auto" w:fill="EEF2F1"/>
          </w:tcPr>
          <w:p>
            <w:r>
              <w:rPr>
                <w:sz w:val="19"/>
              </w:rPr>
              <w:t>Lithuania (opportunità)</w:t>
            </w:r>
          </w:p>
        </w:tc>
        <w:tc>
          <w:tcPr>
            <w:tcW w:type="dxa" w:w="1440"/>
            <w:shd w:val="clear" w:color="auto" w:fill="EEF2F1"/>
          </w:tcPr>
          <w:p>
            <w:r>
              <w:rPr>
                <w:sz w:val="19"/>
              </w:rPr>
              <w:t>lituano</w:t>
            </w:r>
          </w:p>
        </w:tc>
        <w:tc>
          <w:tcPr>
            <w:tcW w:type="dxa" w:w="1440"/>
            <w:shd w:val="clear" w:color="auto" w:fill="EEF2F1"/>
          </w:tcPr>
          <w:p>
            <w:r>
              <w:rPr>
                <w:sz w:val="19"/>
              </w:rPr>
              <w:t>Prevalentemente stagionale</w:t>
            </w:r>
          </w:p>
        </w:tc>
        <w:tc>
          <w:tcPr>
            <w:tcW w:type="dxa" w:w="1440"/>
            <w:shd w:val="clear" w:color="auto" w:fill="EEF2F1"/>
          </w:tcPr>
          <w:p>
            <w:r>
              <w:rPr>
                <w:sz w:val="19"/>
              </w:rPr>
              <w:t>più volte a settimana</w:t>
            </w:r>
          </w:p>
        </w:tc>
        <w:tc>
          <w:tcPr>
            <w:tcW w:type="dxa" w:w="1440"/>
            <w:shd w:val="clear" w:color="auto" w:fill="EEF2F1"/>
          </w:tcPr>
          <w:p>
            <w:r>
              <w:rPr>
                <w:sz w:val="19"/>
              </w:rPr>
              <w:t>9</w:t>
            </w:r>
          </w:p>
        </w:tc>
        <w:tc>
          <w:tcPr>
            <w:tcW w:type="dxa" w:w="1440"/>
            <w:shd w:val="clear" w:color="auto" w:fill="EEF2F1"/>
          </w:tcPr>
          <w:p>
            <w:r>
              <w:rPr>
                <w:sz w:val="19"/>
              </w:rPr>
              <w:t>Kaunas (9/mese)</w:t>
            </w:r>
          </w:p>
        </w:tc>
      </w:tr>
      <w:tr>
        <w:tc>
          <w:tcPr>
            <w:tcW w:type="dxa" w:w="1440"/>
          </w:tcPr>
          <w:p>
            <w:r>
              <w:rPr>
                <w:sz w:val="19"/>
              </w:rPr>
              <w:t>Belgium (opportunità)</w:t>
            </w:r>
          </w:p>
        </w:tc>
        <w:tc>
          <w:tcPr>
            <w:tcW w:type="dxa" w:w="1440"/>
          </w:tcPr>
          <w:p>
            <w:r>
              <w:rPr>
                <w:sz w:val="19"/>
              </w:rPr>
              <w:t>olandese, francese</w:t>
            </w:r>
          </w:p>
        </w:tc>
        <w:tc>
          <w:tcPr>
            <w:tcW w:type="dxa" w:w="1440"/>
          </w:tcPr>
          <w:p>
            <w:r>
              <w:rPr>
                <w:sz w:val="19"/>
              </w:rPr>
              <w:t>Tutto l'anno</w:t>
            </w:r>
          </w:p>
        </w:tc>
        <w:tc>
          <w:tcPr>
            <w:tcW w:type="dxa" w:w="1440"/>
          </w:tcPr>
          <w:p>
            <w:r>
              <w:rPr>
                <w:sz w:val="19"/>
              </w:rPr>
              <w:t>più volte a settimana</w:t>
            </w:r>
          </w:p>
        </w:tc>
        <w:tc>
          <w:tcPr>
            <w:tcW w:type="dxa" w:w="1440"/>
          </w:tcPr>
          <w:p>
            <w:r>
              <w:rPr>
                <w:sz w:val="19"/>
              </w:rPr>
              <w:t>9</w:t>
            </w:r>
          </w:p>
        </w:tc>
        <w:tc>
          <w:tcPr>
            <w:tcW w:type="dxa" w:w="1440"/>
          </w:tcPr>
          <w:p>
            <w:r>
              <w:rPr>
                <w:sz w:val="19"/>
              </w:rPr>
              <w:t>Brussels Charleroi (9/mese)</w:t>
            </w:r>
          </w:p>
        </w:tc>
      </w:tr>
      <w:tr>
        <w:tc>
          <w:tcPr>
            <w:tcW w:type="dxa" w:w="1440"/>
            <w:shd w:val="clear" w:color="auto" w:fill="EEF2F1"/>
          </w:tcPr>
          <w:p>
            <w:r>
              <w:rPr>
                <w:sz w:val="19"/>
              </w:rPr>
              <w:t>Spain (opportunità)</w:t>
            </w:r>
          </w:p>
        </w:tc>
        <w:tc>
          <w:tcPr>
            <w:tcW w:type="dxa" w:w="1440"/>
            <w:shd w:val="clear" w:color="auto" w:fill="EEF2F1"/>
          </w:tcPr>
          <w:p>
            <w:r>
              <w:rPr>
                <w:sz w:val="19"/>
              </w:rPr>
              <w:t>spagnolo</w:t>
            </w:r>
          </w:p>
        </w:tc>
        <w:tc>
          <w:tcPr>
            <w:tcW w:type="dxa" w:w="1440"/>
            <w:shd w:val="clear" w:color="auto" w:fill="EEF2F1"/>
          </w:tcPr>
          <w:p>
            <w:r>
              <w:rPr>
                <w:sz w:val="19"/>
              </w:rPr>
              <w:t>Prevalentemente stagionale</w:t>
            </w:r>
          </w:p>
        </w:tc>
        <w:tc>
          <w:tcPr>
            <w:tcW w:type="dxa" w:w="1440"/>
            <w:shd w:val="clear" w:color="auto" w:fill="EEF2F1"/>
          </w:tcPr>
          <w:p>
            <w:r>
              <w:rPr>
                <w:sz w:val="19"/>
              </w:rPr>
              <w:t>più volte a settimana</w:t>
            </w:r>
          </w:p>
        </w:tc>
        <w:tc>
          <w:tcPr>
            <w:tcW w:type="dxa" w:w="1440"/>
            <w:shd w:val="clear" w:color="auto" w:fill="EEF2F1"/>
          </w:tcPr>
          <w:p>
            <w:r>
              <w:rPr>
                <w:sz w:val="19"/>
              </w:rPr>
              <w:t>8</w:t>
            </w:r>
          </w:p>
        </w:tc>
        <w:tc>
          <w:tcPr>
            <w:tcW w:type="dxa" w:w="1440"/>
            <w:shd w:val="clear" w:color="auto" w:fill="EEF2F1"/>
          </w:tcPr>
          <w:p>
            <w:r>
              <w:rPr>
                <w:sz w:val="19"/>
              </w:rPr>
              <w:t>Barcelona (4/mese); Madrid (4/mese)</w:t>
            </w:r>
          </w:p>
        </w:tc>
      </w:tr>
      <w:tr>
        <w:tc>
          <w:tcPr>
            <w:tcW w:type="dxa" w:w="1440"/>
          </w:tcPr>
          <w:p>
            <w:r>
              <w:rPr>
                <w:sz w:val="19"/>
              </w:rPr>
              <w:t>Bulgaria (opportunità)</w:t>
            </w:r>
          </w:p>
        </w:tc>
        <w:tc>
          <w:tcPr>
            <w:tcW w:type="dxa" w:w="1440"/>
          </w:tcPr>
          <w:p>
            <w:r>
              <w:rPr>
                <w:sz w:val="19"/>
              </w:rPr>
              <w:t>bulgaro</w:t>
            </w:r>
          </w:p>
        </w:tc>
        <w:tc>
          <w:tcPr>
            <w:tcW w:type="dxa" w:w="1440"/>
          </w:tcPr>
          <w:p>
            <w:r>
              <w:rPr>
                <w:sz w:val="19"/>
              </w:rPr>
              <w:t>Prevalentemente stagionale</w:t>
            </w:r>
          </w:p>
        </w:tc>
        <w:tc>
          <w:tcPr>
            <w:tcW w:type="dxa" w:w="1440"/>
          </w:tcPr>
          <w:p>
            <w:r>
              <w:rPr>
                <w:sz w:val="19"/>
              </w:rPr>
              <w:t>settimanale</w:t>
            </w:r>
          </w:p>
        </w:tc>
        <w:tc>
          <w:tcPr>
            <w:tcW w:type="dxa" w:w="1440"/>
          </w:tcPr>
          <w:p>
            <w:r>
              <w:rPr>
                <w:sz w:val="19"/>
              </w:rPr>
              <w:t>7</w:t>
            </w:r>
          </w:p>
        </w:tc>
        <w:tc>
          <w:tcPr>
            <w:tcW w:type="dxa" w:w="1440"/>
          </w:tcPr>
          <w:p>
            <w:r>
              <w:rPr>
                <w:sz w:val="19"/>
              </w:rPr>
              <w:t>Sofia (7/mese)</w:t>
            </w:r>
          </w:p>
        </w:tc>
      </w:tr>
      <w:tr>
        <w:tc>
          <w:tcPr>
            <w:tcW w:type="dxa" w:w="1440"/>
            <w:shd w:val="clear" w:color="auto" w:fill="EEF2F1"/>
          </w:tcPr>
          <w:p>
            <w:r>
              <w:rPr>
                <w:sz w:val="19"/>
              </w:rPr>
              <w:t>Hungary (opportunità)</w:t>
            </w:r>
          </w:p>
        </w:tc>
        <w:tc>
          <w:tcPr>
            <w:tcW w:type="dxa" w:w="1440"/>
            <w:shd w:val="clear" w:color="auto" w:fill="EEF2F1"/>
          </w:tcPr>
          <w:p>
            <w:r>
              <w:rPr>
                <w:sz w:val="19"/>
              </w:rPr>
              <w:t>ungherese</w:t>
            </w:r>
          </w:p>
        </w:tc>
        <w:tc>
          <w:tcPr>
            <w:tcW w:type="dxa" w:w="1440"/>
            <w:shd w:val="clear" w:color="auto" w:fill="EEF2F1"/>
          </w:tcPr>
          <w:p>
            <w:r>
              <w:rPr>
                <w:sz w:val="19"/>
              </w:rPr>
              <w:t>Prevalentemente stagionale</w:t>
            </w:r>
          </w:p>
        </w:tc>
        <w:tc>
          <w:tcPr>
            <w:tcW w:type="dxa" w:w="1440"/>
            <w:shd w:val="clear" w:color="auto" w:fill="EEF2F1"/>
          </w:tcPr>
          <w:p>
            <w:r>
              <w:rPr>
                <w:sz w:val="19"/>
              </w:rPr>
              <w:t>settimanale</w:t>
            </w:r>
          </w:p>
        </w:tc>
        <w:tc>
          <w:tcPr>
            <w:tcW w:type="dxa" w:w="1440"/>
            <w:shd w:val="clear" w:color="auto" w:fill="EEF2F1"/>
          </w:tcPr>
          <w:p>
            <w:r>
              <w:rPr>
                <w:sz w:val="19"/>
              </w:rPr>
              <w:t>7</w:t>
            </w:r>
          </w:p>
        </w:tc>
        <w:tc>
          <w:tcPr>
            <w:tcW w:type="dxa" w:w="1440"/>
            <w:shd w:val="clear" w:color="auto" w:fill="EEF2F1"/>
          </w:tcPr>
          <w:p>
            <w:r>
              <w:rPr>
                <w:sz w:val="19"/>
              </w:rPr>
              <w:t>Budapest (7/mese)</w:t>
            </w:r>
          </w:p>
        </w:tc>
      </w:tr>
      <w:tr>
        <w:tc>
          <w:tcPr>
            <w:tcW w:type="dxa" w:w="1440"/>
          </w:tcPr>
          <w:p>
            <w:r>
              <w:rPr>
                <w:sz w:val="19"/>
              </w:rPr>
              <w:t>Czechia (opportunità)</w:t>
            </w:r>
          </w:p>
        </w:tc>
        <w:tc>
          <w:tcPr>
            <w:tcW w:type="dxa" w:w="1440"/>
          </w:tcPr>
          <w:p>
            <w:r>
              <w:rPr>
                <w:sz w:val="19"/>
              </w:rPr>
              <w:t>ceco</w:t>
            </w:r>
          </w:p>
        </w:tc>
        <w:tc>
          <w:tcPr>
            <w:tcW w:type="dxa" w:w="1440"/>
          </w:tcPr>
          <w:p>
            <w:r>
              <w:rPr>
                <w:sz w:val="19"/>
              </w:rPr>
              <w:t>Prevalentemente stagionale</w:t>
            </w:r>
          </w:p>
        </w:tc>
        <w:tc>
          <w:tcPr>
            <w:tcW w:type="dxa" w:w="1440"/>
          </w:tcPr>
          <w:p>
            <w:r>
              <w:rPr>
                <w:sz w:val="19"/>
              </w:rPr>
              <w:t>settimanale</w:t>
            </w:r>
          </w:p>
        </w:tc>
        <w:tc>
          <w:tcPr>
            <w:tcW w:type="dxa" w:w="1440"/>
          </w:tcPr>
          <w:p>
            <w:r>
              <w:rPr>
                <w:sz w:val="19"/>
              </w:rPr>
              <w:t>7</w:t>
            </w:r>
          </w:p>
        </w:tc>
        <w:tc>
          <w:tcPr>
            <w:tcW w:type="dxa" w:w="1440"/>
          </w:tcPr>
          <w:p>
            <w:r>
              <w:rPr>
                <w:sz w:val="19"/>
              </w:rPr>
              <w:t>Prague (7/mese)</w:t>
            </w:r>
          </w:p>
        </w:tc>
      </w:tr>
      <w:tr>
        <w:tc>
          <w:tcPr>
            <w:tcW w:type="dxa" w:w="1440"/>
            <w:shd w:val="clear" w:color="auto" w:fill="EEF2F1"/>
          </w:tcPr>
          <w:p>
            <w:r>
              <w:rPr>
                <w:sz w:val="19"/>
              </w:rPr>
              <w:t>Moldova (opportunità)</w:t>
            </w:r>
          </w:p>
        </w:tc>
        <w:tc>
          <w:tcPr>
            <w:tcW w:type="dxa" w:w="1440"/>
            <w:shd w:val="clear" w:color="auto" w:fill="EEF2F1"/>
          </w:tcPr>
          <w:p>
            <w:r>
              <w:rPr>
                <w:sz w:val="19"/>
              </w:rPr>
              <w:t>rumeno, russo</w:t>
            </w:r>
          </w:p>
        </w:tc>
        <w:tc>
          <w:tcPr>
            <w:tcW w:type="dxa" w:w="1440"/>
            <w:shd w:val="clear" w:color="auto" w:fill="EEF2F1"/>
          </w:tcPr>
          <w:p>
            <w:r>
              <w:rPr>
                <w:sz w:val="19"/>
              </w:rPr>
              <w:t>Prevalentemente stagionale</w:t>
            </w:r>
          </w:p>
        </w:tc>
        <w:tc>
          <w:tcPr>
            <w:tcW w:type="dxa" w:w="1440"/>
            <w:shd w:val="clear" w:color="auto" w:fill="EEF2F1"/>
          </w:tcPr>
          <w:p>
            <w:r>
              <w:rPr>
                <w:sz w:val="19"/>
              </w:rPr>
              <w:t>sporadico</w:t>
            </w:r>
          </w:p>
        </w:tc>
        <w:tc>
          <w:tcPr>
            <w:tcW w:type="dxa" w:w="1440"/>
            <w:shd w:val="clear" w:color="auto" w:fill="EEF2F1"/>
          </w:tcPr>
          <w:p>
            <w:r>
              <w:rPr>
                <w:sz w:val="19"/>
              </w:rPr>
              <w:t>2</w:t>
            </w:r>
          </w:p>
        </w:tc>
        <w:tc>
          <w:tcPr>
            <w:tcW w:type="dxa" w:w="1440"/>
            <w:shd w:val="clear" w:color="auto" w:fill="EEF2F1"/>
          </w:tcPr>
          <w:p>
            <w:r>
              <w:rPr>
                <w:sz w:val="19"/>
              </w:rPr>
              <w:t>Chișinău (2/mese)</w:t>
            </w:r>
          </w:p>
        </w:tc>
      </w:tr>
      <w:tr>
        <w:tc>
          <w:tcPr>
            <w:tcW w:type="dxa" w:w="1440"/>
          </w:tcPr>
          <w:p>
            <w:r>
              <w:rPr>
                <w:sz w:val="19"/>
              </w:rPr>
              <w:t>Egypt (opportunità)</w:t>
            </w:r>
          </w:p>
        </w:tc>
        <w:tc>
          <w:tcPr>
            <w:tcW w:type="dxa" w:w="1440"/>
          </w:tcPr>
          <w:p>
            <w:r>
              <w:rPr>
                <w:sz w:val="19"/>
              </w:rPr>
              <w:t>arabo</w:t>
            </w:r>
          </w:p>
        </w:tc>
        <w:tc>
          <w:tcPr>
            <w:tcW w:type="dxa" w:w="1440"/>
          </w:tcPr>
          <w:p>
            <w:r>
              <w:rPr>
                <w:sz w:val="19"/>
              </w:rPr>
              <w:t>Tutto l'anno</w:t>
            </w:r>
          </w:p>
        </w:tc>
        <w:tc>
          <w:tcPr>
            <w:tcW w:type="dxa" w:w="1440"/>
          </w:tcPr>
          <w:p>
            <w:r>
              <w:rPr>
                <w:sz w:val="19"/>
              </w:rPr>
              <w:t>sporadico</w:t>
            </w:r>
          </w:p>
        </w:tc>
        <w:tc>
          <w:tcPr>
            <w:tcW w:type="dxa" w:w="1440"/>
          </w:tcPr>
          <w:p>
            <w:r>
              <w:rPr>
                <w:sz w:val="19"/>
              </w:rPr>
              <w:t>2</w:t>
            </w:r>
          </w:p>
        </w:tc>
        <w:tc>
          <w:tcPr>
            <w:tcW w:type="dxa" w:w="1440"/>
          </w:tcPr>
          <w:p>
            <w:r>
              <w:rPr>
                <w:sz w:val="19"/>
              </w:rPr>
              <w:t>Mersa Matruh (2/mese)</w:t>
            </w:r>
          </w:p>
        </w:tc>
      </w:tr>
      <w:tr>
        <w:tc>
          <w:tcPr>
            <w:tcW w:type="dxa" w:w="1440"/>
            <w:shd w:val="clear" w:color="auto" w:fill="EEF2F1"/>
          </w:tcPr>
          <w:p>
            <w:r>
              <w:rPr>
                <w:sz w:val="19"/>
              </w:rPr>
              <w:t>Greece (opportunità)</w:t>
            </w:r>
          </w:p>
        </w:tc>
        <w:tc>
          <w:tcPr>
            <w:tcW w:type="dxa" w:w="1440"/>
            <w:shd w:val="clear" w:color="auto" w:fill="EEF2F1"/>
          </w:tcPr>
          <w:p>
            <w:r>
              <w:rPr>
                <w:sz w:val="19"/>
              </w:rPr>
              <w:t>greco</w:t>
            </w:r>
          </w:p>
        </w:tc>
        <w:tc>
          <w:tcPr>
            <w:tcW w:type="dxa" w:w="1440"/>
            <w:shd w:val="clear" w:color="auto" w:fill="EEF2F1"/>
          </w:tcPr>
          <w:p>
            <w:r>
              <w:rPr>
                <w:sz w:val="19"/>
              </w:rPr>
              <w:t>Tutto l'anno</w:t>
            </w:r>
          </w:p>
        </w:tc>
        <w:tc>
          <w:tcPr>
            <w:tcW w:type="dxa" w:w="1440"/>
            <w:shd w:val="clear" w:color="auto" w:fill="EEF2F1"/>
          </w:tcPr>
          <w:p>
            <w:r>
              <w:rPr>
                <w:sz w:val="19"/>
              </w:rPr>
              <w:t>sporadico</w:t>
            </w:r>
          </w:p>
        </w:tc>
        <w:tc>
          <w:tcPr>
            <w:tcW w:type="dxa" w:w="1440"/>
            <w:shd w:val="clear" w:color="auto" w:fill="EEF2F1"/>
          </w:tcPr>
          <w:p>
            <w:r>
              <w:rPr>
                <w:sz w:val="19"/>
              </w:rPr>
              <w:t>2</w:t>
            </w:r>
          </w:p>
        </w:tc>
        <w:tc>
          <w:tcPr>
            <w:tcW w:type="dxa" w:w="1440"/>
            <w:shd w:val="clear" w:color="auto" w:fill="EEF2F1"/>
          </w:tcPr>
          <w:p>
            <w:r>
              <w:rPr>
                <w:sz w:val="19"/>
              </w:rPr>
              <w:t>Rhodes (2/mese)</w:t>
            </w:r>
          </w:p>
        </w:tc>
      </w:tr>
      <w:tr>
        <w:tc>
          <w:tcPr>
            <w:tcW w:type="dxa" w:w="1440"/>
          </w:tcPr>
          <w:p>
            <w:r>
              <w:rPr>
                <w:sz w:val="19"/>
              </w:rPr>
              <w:t>Luxembourg (opportunità)</w:t>
            </w:r>
          </w:p>
        </w:tc>
        <w:tc>
          <w:tcPr>
            <w:tcW w:type="dxa" w:w="1440"/>
          </w:tcPr>
          <w:p>
            <w:r>
              <w:rPr>
                <w:sz w:val="19"/>
              </w:rPr>
              <w:t>francese, tedesco, lussemburghese</w:t>
            </w:r>
          </w:p>
        </w:tc>
        <w:tc>
          <w:tcPr>
            <w:tcW w:type="dxa" w:w="1440"/>
          </w:tcPr>
          <w:p>
            <w:r>
              <w:rPr>
                <w:sz w:val="19"/>
              </w:rPr>
              <w:t>Prevalentemente stagionale</w:t>
            </w:r>
          </w:p>
        </w:tc>
        <w:tc>
          <w:tcPr>
            <w:tcW w:type="dxa" w:w="1440"/>
          </w:tcPr>
          <w:p>
            <w:r>
              <w:rPr>
                <w:sz w:val="19"/>
              </w:rPr>
              <w:t>sporadico</w:t>
            </w:r>
          </w:p>
        </w:tc>
        <w:tc>
          <w:tcPr>
            <w:tcW w:type="dxa" w:w="1440"/>
          </w:tcPr>
          <w:p>
            <w:r>
              <w:rPr>
                <w:sz w:val="19"/>
              </w:rPr>
              <w:t>2</w:t>
            </w:r>
          </w:p>
        </w:tc>
        <w:tc>
          <w:tcPr>
            <w:tcW w:type="dxa" w:w="1440"/>
          </w:tcPr>
          <w:p>
            <w:r>
              <w:rPr>
                <w:sz w:val="19"/>
              </w:rPr>
              <w:t>Luxembourg City (2/mese)</w:t>
            </w:r>
          </w:p>
        </w:tc>
      </w:tr>
    </w:tbl>
    <w:p>
      <w:pPr>
        <w:spacing w:after="160"/>
      </w:pPr>
    </w:p>
    <w:p>
      <w:r>
        <w:t>Come leggerla: L'origine del volo è un proxy della lingua/mercato, non della nazionalità dei passeggeri. Solo rotte di linea dirette (non presenze reali né voli con scalo). La stagionalità riflette lo snapshot degli orari: affidabile sui collegamenti stagionali dedicati, da confermare sui grandi hub.</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Mercato</w:t>
            </w:r>
          </w:p>
        </w:tc>
        <w:tc>
          <w:tcPr>
            <w:tcW w:type="dxa" w:w="1728"/>
            <w:shd w:val="clear" w:color="auto" w:fill="2F5D62"/>
          </w:tcPr>
          <w:p>
            <w:r>
              <w:rPr>
                <w:b/>
                <w:color w:val="FFFFFF"/>
                <w:sz w:val="19"/>
              </w:rPr>
              <w:t>Connettività aerea</w:t>
            </w:r>
          </w:p>
        </w:tc>
        <w:tc>
          <w:tcPr>
            <w:tcW w:type="dxa" w:w="1728"/>
            <w:shd w:val="clear" w:color="auto" w:fill="2F5D62"/>
          </w:tcPr>
          <w:p>
            <w:r>
              <w:rPr>
                <w:b/>
                <w:color w:val="FFFFFF"/>
                <w:sz w:val="19"/>
              </w:rPr>
              <w:t>Finestra stagionale</w:t>
            </w:r>
          </w:p>
        </w:tc>
        <w:tc>
          <w:tcPr>
            <w:tcW w:type="dxa" w:w="1728"/>
            <w:shd w:val="clear" w:color="auto" w:fill="2F5D62"/>
          </w:tcPr>
          <w:p>
            <w:r>
              <w:rPr>
                <w:b/>
                <w:color w:val="FFFFFF"/>
                <w:sz w:val="19"/>
              </w:rPr>
              <w:t>Domanda già presente (lingua)</w:t>
            </w:r>
          </w:p>
        </w:tc>
        <w:tc>
          <w:tcPr>
            <w:tcW w:type="dxa" w:w="1728"/>
            <w:shd w:val="clear" w:color="auto" w:fill="2F5D62"/>
          </w:tcPr>
          <w:p>
            <w:r>
              <w:rPr>
                <w:b/>
                <w:color w:val="FFFFFF"/>
                <w:sz w:val="19"/>
              </w:rPr>
              <w:t>Verdetto</w:t>
            </w:r>
          </w:p>
        </w:tc>
      </w:tr>
      <w:tr>
        <w:tc>
          <w:tcPr>
            <w:tcW w:type="dxa" w:w="1728"/>
          </w:tcPr>
          <w:p>
            <w:r>
              <w:rPr>
                <w:sz w:val="19"/>
              </w:rPr>
              <w:t>Regno Unito</w:t>
            </w:r>
          </w:p>
        </w:tc>
        <w:tc>
          <w:tcPr>
            <w:tcW w:type="dxa" w:w="1728"/>
          </w:tcPr>
          <w:p>
            <w:r>
              <w:rPr>
                <w:sz w:val="19"/>
              </w:rPr>
              <w:t>Continua, giornaliera</w:t>
            </w:r>
          </w:p>
        </w:tc>
        <w:tc>
          <w:tcPr>
            <w:tcW w:type="dxa" w:w="1728"/>
          </w:tcPr>
          <w:p>
            <w:r>
              <w:rPr>
                <w:sz w:val="19"/>
              </w:rPr>
              <w:t>Tutto l'anno</w:t>
            </w:r>
          </w:p>
        </w:tc>
        <w:tc>
          <w:tcPr>
            <w:tcW w:type="dxa" w:w="1728"/>
          </w:tcPr>
          <w:p>
            <w:r>
              <w:rPr>
                <w:sz w:val="19"/>
              </w:rPr>
              <w:t>Non rilevata nel mix attuale</w:t>
            </w:r>
          </w:p>
        </w:tc>
        <w:tc>
          <w:tcPr>
            <w:tcW w:type="dxa" w:w="1728"/>
          </w:tcPr>
          <w:p>
            <w:r>
              <w:rPr>
                <w:sz w:val="19"/>
              </w:rPr>
              <w:t>Opportunità da testare — landing in inglese + pilota PPC</w:t>
            </w:r>
          </w:p>
        </w:tc>
      </w:tr>
      <w:tr>
        <w:tc>
          <w:tcPr>
            <w:tcW w:type="dxa" w:w="1728"/>
            <w:shd w:val="clear" w:color="auto" w:fill="EEF2F1"/>
          </w:tcPr>
          <w:p>
            <w:r>
              <w:rPr>
                <w:sz w:val="19"/>
              </w:rPr>
              <w:t>Germania</w:t>
            </w:r>
          </w:p>
        </w:tc>
        <w:tc>
          <w:tcPr>
            <w:tcW w:type="dxa" w:w="1728"/>
            <w:shd w:val="clear" w:color="auto" w:fill="EEF2F1"/>
          </w:tcPr>
          <w:p>
            <w:r>
              <w:rPr>
                <w:sz w:val="19"/>
              </w:rPr>
              <w:t>Stagionale, più voli/settimana</w:t>
            </w:r>
          </w:p>
        </w:tc>
        <w:tc>
          <w:tcPr>
            <w:tcW w:type="dxa" w:w="1728"/>
            <w:shd w:val="clear" w:color="auto" w:fill="EEF2F1"/>
          </w:tcPr>
          <w:p>
            <w:r>
              <w:rPr>
                <w:sz w:val="19"/>
              </w:rPr>
              <w:t>Settembre→ottobre</w:t>
            </w:r>
          </w:p>
        </w:tc>
        <w:tc>
          <w:tcPr>
            <w:tcW w:type="dxa" w:w="1728"/>
            <w:shd w:val="clear" w:color="auto" w:fill="EEF2F1"/>
          </w:tcPr>
          <w:p>
            <w:r>
              <w:rPr>
                <w:sz w:val="19"/>
              </w:rPr>
              <w:t>Non rilevata nel mix attuale</w:t>
            </w:r>
          </w:p>
        </w:tc>
        <w:tc>
          <w:tcPr>
            <w:tcW w:type="dxa" w:w="1728"/>
            <w:shd w:val="clear" w:color="auto" w:fill="EEF2F1"/>
          </w:tcPr>
          <w:p>
            <w:r>
              <w:rPr>
                <w:sz w:val="19"/>
              </w:rPr>
              <w:t>Opportunità da testare — landing in tedesco + pilota PPC nella finestra sett.-ott.</w:t>
            </w:r>
          </w:p>
        </w:tc>
      </w:tr>
      <w:tr>
        <w:tc>
          <w:tcPr>
            <w:tcW w:type="dxa" w:w="1728"/>
          </w:tcPr>
          <w:p>
            <w:r>
              <w:rPr>
                <w:sz w:val="19"/>
              </w:rPr>
              <w:t>Francia</w:t>
            </w:r>
          </w:p>
        </w:tc>
        <w:tc>
          <w:tcPr>
            <w:tcW w:type="dxa" w:w="1728"/>
          </w:tcPr>
          <w:p>
            <w:r>
              <w:rPr>
                <w:sz w:val="19"/>
              </w:rPr>
              <w:t>Stagionale, più voli/settimana</w:t>
            </w:r>
          </w:p>
        </w:tc>
        <w:tc>
          <w:tcPr>
            <w:tcW w:type="dxa" w:w="1728"/>
          </w:tcPr>
          <w:p>
            <w:r>
              <w:rPr>
                <w:sz w:val="19"/>
              </w:rPr>
              <w:t>Settembre→ottobre</w:t>
            </w:r>
          </w:p>
        </w:tc>
        <w:tc>
          <w:tcPr>
            <w:tcW w:type="dxa" w:w="1728"/>
          </w:tcPr>
          <w:p>
            <w:r>
              <w:rPr>
                <w:sz w:val="19"/>
              </w:rPr>
              <w:t>Non rilevata nel mix attuale</w:t>
            </w:r>
          </w:p>
        </w:tc>
        <w:tc>
          <w:tcPr>
            <w:tcW w:type="dxa" w:w="1728"/>
          </w:tcPr>
          <w:p>
            <w:r>
              <w:rPr>
                <w:sz w:val="19"/>
              </w:rPr>
              <w:t>Opportunità da testare — landing in francese + pilota PPC nella finestra sett.-ott.</w:t>
            </w:r>
          </w:p>
        </w:tc>
      </w:tr>
      <w:tr>
        <w:tc>
          <w:tcPr>
            <w:tcW w:type="dxa" w:w="1728"/>
            <w:shd w:val="clear" w:color="auto" w:fill="EEF2F1"/>
          </w:tcPr>
          <w:p>
            <w:r>
              <w:rPr>
                <w:sz w:val="19"/>
              </w:rPr>
              <w:t>Polonia</w:t>
            </w:r>
          </w:p>
        </w:tc>
        <w:tc>
          <w:tcPr>
            <w:tcW w:type="dxa" w:w="1728"/>
            <w:shd w:val="clear" w:color="auto" w:fill="EEF2F1"/>
          </w:tcPr>
          <w:p>
            <w:r>
              <w:rPr>
                <w:sz w:val="19"/>
              </w:rPr>
              <w:t>Stagionale, giornaliera</w:t>
            </w:r>
          </w:p>
        </w:tc>
        <w:tc>
          <w:tcPr>
            <w:tcW w:type="dxa" w:w="1728"/>
            <w:shd w:val="clear" w:color="auto" w:fill="EEF2F1"/>
          </w:tcPr>
          <w:p>
            <w:r>
              <w:rPr>
                <w:sz w:val="19"/>
              </w:rPr>
              <w:t>Stagione estiva</w:t>
            </w:r>
          </w:p>
        </w:tc>
        <w:tc>
          <w:tcPr>
            <w:tcW w:type="dxa" w:w="1728"/>
            <w:shd w:val="clear" w:color="auto" w:fill="EEF2F1"/>
          </w:tcPr>
          <w:p>
            <w:r>
              <w:rPr>
                <w:sz w:val="19"/>
              </w:rPr>
              <w:t>Non rilevata nel mix attuale</w:t>
            </w:r>
          </w:p>
        </w:tc>
        <w:tc>
          <w:tcPr>
            <w:tcW w:type="dxa" w:w="1728"/>
            <w:shd w:val="clear" w:color="auto" w:fill="EEF2F1"/>
          </w:tcPr>
          <w:p>
            <w:r>
              <w:rPr>
                <w:sz w:val="19"/>
              </w:rPr>
              <w:t>Opportunità da testare — landing in polacco + pilota PPC</w:t>
            </w:r>
          </w:p>
        </w:tc>
      </w:tr>
      <w:tr>
        <w:tc>
          <w:tcPr>
            <w:tcW w:type="dxa" w:w="1728"/>
          </w:tcPr>
          <w:p>
            <w:r>
              <w:rPr>
                <w:sz w:val="19"/>
              </w:rPr>
              <w:t>Belgio</w:t>
            </w:r>
          </w:p>
        </w:tc>
        <w:tc>
          <w:tcPr>
            <w:tcW w:type="dxa" w:w="1728"/>
          </w:tcPr>
          <w:p>
            <w:r>
              <w:rPr>
                <w:sz w:val="19"/>
              </w:rPr>
              <w:t>Continua, più voli/settimana</w:t>
            </w:r>
          </w:p>
        </w:tc>
        <w:tc>
          <w:tcPr>
            <w:tcW w:type="dxa" w:w="1728"/>
          </w:tcPr>
          <w:p>
            <w:r>
              <w:rPr>
                <w:sz w:val="19"/>
              </w:rPr>
              <w:t>Tutto l'anno</w:t>
            </w:r>
          </w:p>
        </w:tc>
        <w:tc>
          <w:tcPr>
            <w:tcW w:type="dxa" w:w="1728"/>
          </w:tcPr>
          <w:p>
            <w:r>
              <w:rPr>
                <w:sz w:val="19"/>
              </w:rPr>
              <w:t>Non rilevata nel mix attuale</w:t>
            </w:r>
          </w:p>
        </w:tc>
        <w:tc>
          <w:tcPr>
            <w:tcW w:type="dxa" w:w="1728"/>
          </w:tcPr>
          <w:p>
            <w:r>
              <w:rPr>
                <w:sz w:val="19"/>
              </w:rPr>
              <w:t>Opportunità da testare — landing bilingue (FR/NL) + pilota PPC</w:t>
            </w:r>
          </w:p>
        </w:tc>
      </w:tr>
      <w:tr>
        <w:tc>
          <w:tcPr>
            <w:tcW w:type="dxa" w:w="1728"/>
            <w:shd w:val="clear" w:color="auto" w:fill="EEF2F1"/>
          </w:tcPr>
          <w:p>
            <w:r>
              <w:rPr>
                <w:sz w:val="19"/>
              </w:rPr>
              <w:t>Albania, Lituania, Spagna</w:t>
            </w:r>
          </w:p>
        </w:tc>
        <w:tc>
          <w:tcPr>
            <w:tcW w:type="dxa" w:w="1728"/>
            <w:shd w:val="clear" w:color="auto" w:fill="EEF2F1"/>
          </w:tcPr>
          <w:p>
            <w:r>
              <w:rPr>
                <w:sz w:val="19"/>
              </w:rPr>
              <w:t>Stagionale, più voli/settimana</w:t>
            </w:r>
          </w:p>
        </w:tc>
        <w:tc>
          <w:tcPr>
            <w:tcW w:type="dxa" w:w="1728"/>
            <w:shd w:val="clear" w:color="auto" w:fill="EEF2F1"/>
          </w:tcPr>
          <w:p>
            <w:r>
              <w:rPr>
                <w:sz w:val="19"/>
              </w:rPr>
              <w:t>Stagione estiva</w:t>
            </w:r>
          </w:p>
        </w:tc>
        <w:tc>
          <w:tcPr>
            <w:tcW w:type="dxa" w:w="1728"/>
            <w:shd w:val="clear" w:color="auto" w:fill="EEF2F1"/>
          </w:tcPr>
          <w:p>
            <w:r>
              <w:rPr>
                <w:sz w:val="19"/>
              </w:rPr>
              <w:t>Non rilevata nel mix attuale</w:t>
            </w:r>
          </w:p>
        </w:tc>
        <w:tc>
          <w:tcPr>
            <w:tcW w:type="dxa" w:w="1728"/>
            <w:shd w:val="clear" w:color="auto" w:fill="EEF2F1"/>
          </w:tcPr>
          <w:p>
            <w:r>
              <w:rPr>
                <w:sz w:val="19"/>
              </w:rPr>
              <w:t>Opportunità a bassa priorità — monitorare, non presidiare ora</w:t>
            </w:r>
          </w:p>
        </w:tc>
      </w:tr>
    </w:tbl>
    <w:p>
      <w:pPr>
        <w:spacing w:after="160"/>
      </w:pPr>
    </w:p>
    <w:p>
      <w:r>
        <w:t>Nessun mercato estero risulta oggi validato da entrambi i lati: la connettività aerea verso otto paesi esiste, ma il mix linguistico delle recensioni non conferma una domanda straniera già in casa (segmento 'turisti stranieri' marginale, letto in sez. 02). Questo sposta la priorità operativa: prima consolidare il bacino domestico e la clientela abituale, poi trattare l'estero come test a budget contenuto e non come pilastro. La leva non è 'aggredire' nuovi mercati con campagne ampie, ma aprire una a una le finestre più promettenti — Regno Unito e Germania in testa, per durata della stagione aerea e coerenza con il profilo family-friendly della struttura — misurando prima di scalare. In parallelo, la partita vera della distribuzione resta quella difensiva: presidiare la qualità del listing sui portali che già intermediano la domanda locale e regionale, dato che oggi la visibilità organica diretta è quasi nulla (v. sez. 03) e l'OTA/portale è probabilmente la porta d'accesso reale di buona parte dei nuovi ospiti.</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Obiettivo</w:t>
            </w:r>
          </w:p>
        </w:tc>
        <w:tc>
          <w:tcPr>
            <w:tcW w:type="dxa" w:w="2880"/>
            <w:shd w:val="clear" w:color="auto" w:fill="2F5D62"/>
          </w:tcPr>
          <w:p>
            <w:r>
              <w:rPr>
                <w:b/>
                <w:color w:val="FFFFFF"/>
                <w:sz w:val="19"/>
              </w:rPr>
              <w:t>Tipo</w:t>
            </w:r>
          </w:p>
        </w:tc>
        <w:tc>
          <w:tcPr>
            <w:tcW w:type="dxa" w:w="2880"/>
            <w:shd w:val="clear" w:color="auto" w:fill="2F5D62"/>
          </w:tcPr>
          <w:p>
            <w:r>
              <w:rPr>
                <w:b/>
                <w:color w:val="FFFFFF"/>
                <w:sz w:val="19"/>
              </w:rPr>
              <w:t>Target</w:t>
            </w:r>
          </w:p>
        </w:tc>
      </w:tr>
      <w:tr>
        <w:tc>
          <w:tcPr>
            <w:tcW w:type="dxa" w:w="2880"/>
          </w:tcPr>
          <w:p>
            <w:r>
              <w:rPr>
                <w:sz w:val="19"/>
              </w:rPr>
              <w:t>Rilevare la baseline di quota diretta vs OTA</w:t>
            </w:r>
          </w:p>
        </w:tc>
        <w:tc>
          <w:tcPr>
            <w:tcW w:type="dxa" w:w="2880"/>
          </w:tcPr>
          <w:p>
            <w:r>
              <w:rPr>
                <w:sz w:val="19"/>
              </w:rPr>
              <w:t>Obiettivo di processo</w:t>
            </w:r>
          </w:p>
        </w:tc>
        <w:tc>
          <w:tcPr>
            <w:tcW w:type="dxa" w:w="2880"/>
          </w:tcPr>
          <w:p>
            <w:r>
              <w:rPr>
                <w:sz w:val="19"/>
              </w:rPr>
              <w:t>Baseline stabilita entro fine periodo di chiusura stagionale</w:t>
            </w:r>
          </w:p>
        </w:tc>
      </w:tr>
      <w:tr>
        <w:tc>
          <w:tcPr>
            <w:tcW w:type="dxa" w:w="2880"/>
            <w:shd w:val="clear" w:color="auto" w:fill="EEF2F1"/>
          </w:tcPr>
          <w:p>
            <w:r>
              <w:rPr>
                <w:sz w:val="19"/>
              </w:rPr>
              <w:t>Verificare parità tariffaria diretto/OTA su metasearch</w:t>
            </w:r>
          </w:p>
        </w:tc>
        <w:tc>
          <w:tcPr>
            <w:tcW w:type="dxa" w:w="2880"/>
            <w:shd w:val="clear" w:color="auto" w:fill="EEF2F1"/>
          </w:tcPr>
          <w:p>
            <w:r>
              <w:rPr>
                <w:sz w:val="19"/>
              </w:rPr>
              <w:t>Obiettivo di processo</w:t>
            </w:r>
          </w:p>
        </w:tc>
        <w:tc>
          <w:tcPr>
            <w:tcW w:type="dxa" w:w="2880"/>
            <w:shd w:val="clear" w:color="auto" w:fill="EEF2F1"/>
          </w:tcPr>
          <w:p>
            <w:r>
              <w:rPr>
                <w:sz w:val="19"/>
              </w:rPr>
              <w:t>Audit completato prima di ogni investimento su booking diretto</w:t>
            </w:r>
          </w:p>
        </w:tc>
      </w:tr>
      <w:tr>
        <w:tc>
          <w:tcPr>
            <w:tcW w:type="dxa" w:w="2880"/>
          </w:tcPr>
          <w:p>
            <w:r>
              <w:rPr>
                <w:sz w:val="19"/>
              </w:rPr>
              <w:t>Completare e allineare il listing sui portali/OTA e sui due portali di destinazione locali</w:t>
            </w:r>
          </w:p>
        </w:tc>
        <w:tc>
          <w:tcPr>
            <w:tcW w:type="dxa" w:w="2880"/>
          </w:tcPr>
          <w:p>
            <w:r>
              <w:rPr>
                <w:sz w:val="19"/>
              </w:rPr>
              <w:t>Obiettivo di processo</w:t>
            </w:r>
          </w:p>
        </w:tc>
        <w:tc>
          <w:tcPr>
            <w:tcW w:type="dxa" w:w="2880"/>
          </w:tcPr>
          <w:p>
            <w:r>
              <w:rPr>
                <w:sz w:val="19"/>
              </w:rPr>
              <w:t>Schede aggiornate e coerenti su tutti i canali attivi (v. sez. 03)</w:t>
            </w:r>
          </w:p>
        </w:tc>
      </w:tr>
      <w:tr>
        <w:tc>
          <w:tcPr>
            <w:tcW w:type="dxa" w:w="2880"/>
            <w:shd w:val="clear" w:color="auto" w:fill="EEF2F1"/>
          </w:tcPr>
          <w:p>
            <w:r>
              <w:rPr>
                <w:sz w:val="19"/>
              </w:rPr>
              <w:t>Testare un mercato estero pilota (UK o DE)</w:t>
            </w:r>
          </w:p>
        </w:tc>
        <w:tc>
          <w:tcPr>
            <w:tcW w:type="dxa" w:w="2880"/>
            <w:shd w:val="clear" w:color="auto" w:fill="EEF2F1"/>
          </w:tcPr>
          <w:p>
            <w:r>
              <w:rPr>
                <w:sz w:val="19"/>
              </w:rPr>
              <w:t>Obiettivo di processo</w:t>
            </w:r>
          </w:p>
        </w:tc>
        <w:tc>
          <w:tcPr>
            <w:tcW w:type="dxa" w:w="2880"/>
            <w:shd w:val="clear" w:color="auto" w:fill="EEF2F1"/>
          </w:tcPr>
          <w:p>
            <w:r>
              <w:rPr>
                <w:sz w:val="19"/>
              </w:rPr>
              <w:t>Landing + pilota PPC attivo nella finestra stagionale del mercato scelto</w:t>
            </w:r>
          </w:p>
        </w:tc>
      </w:tr>
    </w:tbl>
    <w:p>
      <w:pPr>
        <w:spacing w:after="160"/>
      </w:pPr>
    </w:p>
    <w:p>
      <w:pPr>
        <w:spacing w:before="160" w:after="40"/>
      </w:pPr>
      <w:r>
        <w:rPr>
          <w:b/>
          <w:color w:val="2F5D62"/>
          <w:sz w:val="24"/>
        </w:rPr>
        <w:t>Azioni</w:t>
      </w:r>
    </w:p>
    <w:p>
      <w:pPr>
        <w:pStyle w:val="ListBullet"/>
      </w:pPr>
      <w:r>
        <w:t>La connettività aerea verso il Regno Unito è continua tutto l'anno mentre quella verso Germania e Francia si concentra nella finestra settembre-ottobre: significa che questi mercati sono raggiungibili ma non ancora intercettati da alcun contenuto in lingua sul sito, quindi ogni euro speso su di loro oggi sarebbe un test, non uno scaling. Si propone di costruire una singola landing page in inglese e una in tedesco, agganciate alle pagine già esistenti su offerte e servizi, e di affiancarle con un pilota PPC a budget limitato nella rispettiva finestra stagionale (continuo per il Regno Unito, concentrato a settembre-ottobre per la Germania), per verificare se la domanda risponde prima di allargare il presidio.</w:t>
      </w:r>
    </w:p>
    <w:p>
      <w:pPr>
        <w:pStyle w:val="ListBullet"/>
      </w:pPr>
      <w:r>
        <w:t>L'assenza di qualunque dato su presenza, ranking e foto sui portali OTA (Booking, Expedia) rappresenta un vuoto informativo che precede qualsiasi decisione di investimento sul canale diretto: senza sapere come la struttura appare oggi su questi portali non è possibile stabilire se le OTA stiano già svolgendo bene il loro ruolo di acquisizione o se ci sia margine di miglioramento immediato a costo zero. La prima azione è quindi un audit interno del listing su Booking ed Expedia — coerenza di nome, indirizzo, descrizione, foto e servizi con quanto comunicato sul sito — da eseguire prima di qualunque campagna di spinta al diretto.</w:t>
      </w:r>
    </w:p>
    <w:p>
      <w:pPr>
        <w:pStyle w:val="ListBullet"/>
      </w:pPr>
      <w:r>
        <w:t>La parità tariffaria tra sito diretto e OTA sui motori di metaricerca non è oggi verificabile con i dati disponibili, ma è un prerequisito tecnico: se il prezzo diretto risultasse più alto di quello OTA su Google Hotel Ads o Trivago, ogni sforzo di comunicazione verso il booking diretto sarebbe vanificato in fase di comparazione prezzo. Va quindi eseguito un controllo di parità come passo preliminare, non come iniziativa parallela.</w:t>
      </w:r>
    </w:p>
    <w:p>
      <w:pPr>
        <w:pStyle w:val="ListBullet"/>
      </w:pPr>
      <w:r>
        <w:t>I due portali di destinazione locali già condividono una parte della domanda organica del sito (v. sez. 03): governarli — verificando che riportino correttamente nome, indirizzo e link al sito ufficiale — è un'azione a basso sforzo che rientra nella logica di presidio del canale intermedio, complementare e non alternativa al lavoro SEO sul sito proprio.</w:t>
      </w:r>
    </w:p>
    <w:p>
      <w:pPr>
        <w:pStyle w:val="ListBullet"/>
      </w:pPr>
      <w:r>
        <w:t>Il segmento di clientela straniera resta oggi marginale nella reputazione raccolta: questo non giustifica investimenti ampi e diffusi su tutti gli otto mercati con connettività aerea, ma un approccio sequenziale che parte da uno o due mercati pilota, verifica la risposta, e solo in caso di segnale positivo allarga il presidio linguistico e il budget dedicato.</w:t>
      </w:r>
    </w:p>
    <w:p>
      <w:pPr>
        <w:spacing w:before="160" w:after="40"/>
      </w:pPr>
      <w:r>
        <w:rPr>
          <w:b/>
          <w:color w:val="2F5D62"/>
          <w:sz w:val="24"/>
        </w:rPr>
        <w:t>KPI</w:t>
      </w:r>
    </w:p>
    <w:p>
      <w:r>
        <w:t>I KPI numerici di controllo per questa leva sono raccolti in sez. 06 (quota diretta, CoA/CAC per canale, esito dei test di mercato estero); qui restano validi come riferimento di processo la completezza del listing sui portali attivi e l'esito binario (parità sì/no) dell'audit tariffario su metasearch.</w:t>
      </w:r>
    </w:p>
    <w:p>
      <w:pPr>
        <w:spacing w:before="160" w:after="40"/>
      </w:pPr>
      <w:r>
        <w:rPr>
          <w:b/>
          <w:color w:val="2F5D62"/>
          <w:sz w:val="24"/>
        </w:rPr>
        <w:t>Note esecutive</w:t>
      </w:r>
    </w:p>
    <w:p>
      <w:pPr>
        <w:pStyle w:val="ListBullet"/>
      </w:pPr>
      <w:r>
        <w:t>Le metriche tariffarie e di rendimento (prezzi, listini, formule di ricarico) restano di competenza della struttura: questo piano tratta la distribuzione solo come presidio di canale e di listing, non come leva di pricing.</w:t>
      </w:r>
    </w:p>
    <w:p>
      <w:pPr>
        <w:pStyle w:val="ListBullet"/>
      </w:pPr>
      <w:r>
        <w:t>I mercati con sola connettività aerea (senza domanda linguistica rilevata) vanno trattati come ipotesi da validare con un test a budget contenuto, non come mercati acquisiti: evitare di dimensionare campagne ampie prima di un segnale di risposta.</w:t>
      </w:r>
    </w:p>
    <w:p>
      <w:pPr>
        <w:pStyle w:val="ListBullet"/>
      </w:pPr>
      <w:r>
        <w:t>L'audit di parità tariffaria e di presenza sui portali OTA è un prerequisito da eseguire prima, non in parallelo, a qualunque investimento di spinta sul canale diretto.</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mag, giu, lug, ago, set (assunti, da confermare col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gen</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IT_estate gen</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apr,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mag, 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RiminiWellness, 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mar</w:t>
            </w:r>
          </w:p>
        </w:tc>
        <w:tc>
          <w:tcPr>
            <w:tcW w:type="dxa" w:w="2160"/>
          </w:tcPr>
          <w:p>
            <w:r>
              <w:rPr>
                <w:sz w:val="19"/>
              </w:rPr>
              <w:t>giu</w:t>
            </w:r>
          </w:p>
        </w:tc>
        <w:tc>
          <w:tcPr>
            <w:tcW w:type="dxa" w:w="2160"/>
          </w:tcPr>
          <w:p>
            <w:r>
              <w:rPr>
                <w:sz w:val="19"/>
              </w:rPr>
              <w:t>3</w:t>
            </w:r>
          </w:p>
        </w:tc>
      </w:tr>
    </w:tbl>
    <w:p>
      <w:pPr>
        <w:spacing w:after="160"/>
      </w:pPr>
    </w:p>
    <w:p>
      <w:r>
        <w:t>Adria Beach Club è una struttura stagionale (archetipo A1/A2): l'apertura copre indicativamente il periodo maggio-settembre, con la stagione balneare piena nei mesi centrali — dato assunto in assenza di date di apertura/chiusura dichiarate dal cliente e da validare (v. sez. 08). Su questo calendario vale la regola non negoziabile della stagionalità: il cantiere tecnico e di contenuto (sito, dati strutturati, pagine famiglia, listino) si fa nei mesi di chiusura, mai in stagione; la raccolta di materiale fotografico e testimonianze si fa invece ad hotel aperto, perché una struttura chiusa non si può fotografare. La finestra invernale è quindi il momento per chiudere i gap di visibilità organica e AEO aperti in sez. 03, mentre l'estate è il momento per capitalizzare in campo — non per avviare progetti.</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Periodo</w:t>
            </w:r>
          </w:p>
        </w:tc>
        <w:tc>
          <w:tcPr>
            <w:tcW w:type="dxa" w:w="4320"/>
            <w:shd w:val="clear" w:color="auto" w:fill="2F5D62"/>
          </w:tcPr>
          <w:p>
            <w:r>
              <w:rPr>
                <w:b/>
                <w:color w:val="FFFFFF"/>
                <w:sz w:val="19"/>
              </w:rPr>
              <w:t>Obiettivo</w:t>
            </w:r>
          </w:p>
        </w:tc>
      </w:tr>
      <w:tr>
        <w:tc>
          <w:tcPr>
            <w:tcW w:type="dxa" w:w="4320"/>
          </w:tcPr>
          <w:p>
            <w:r>
              <w:rPr>
                <w:sz w:val="19"/>
              </w:rPr>
              <w:t>Q4 (chiusura, ott-dic)</w:t>
            </w:r>
          </w:p>
        </w:tc>
        <w:tc>
          <w:tcPr>
            <w:tcW w:type="dxa" w:w="4320"/>
          </w:tcPr>
          <w:p>
            <w:r>
              <w:rPr>
                <w:sz w:val="19"/>
              </w:rPr>
              <w:t>Completare il cantiere tecnico/contenuti (dati strutturati, pagine famiglia, offerte) prima della riapertura commerciale</w:t>
            </w:r>
          </w:p>
        </w:tc>
      </w:tr>
      <w:tr>
        <w:tc>
          <w:tcPr>
            <w:tcW w:type="dxa" w:w="4320"/>
            <w:shd w:val="clear" w:color="auto" w:fill="EEF2F1"/>
          </w:tcPr>
          <w:p>
            <w:r>
              <w:rPr>
                <w:sz w:val="19"/>
              </w:rPr>
              <w:t>Q1 (gen-mar)</w:t>
            </w:r>
          </w:p>
        </w:tc>
        <w:tc>
          <w:tcPr>
            <w:tcW w:type="dxa" w:w="4320"/>
            <w:shd w:val="clear" w:color="auto" w:fill="EEF2F1"/>
          </w:tcPr>
          <w:p>
            <w:r>
              <w:rPr>
                <w:sz w:val="19"/>
              </w:rPr>
              <w:t>Aprire le vendite e la comunicazione ai clienti abituali in anticipo sulle rispettive finestre di prenotazione</w:t>
            </w:r>
          </w:p>
        </w:tc>
      </w:tr>
      <w:tr>
        <w:tc>
          <w:tcPr>
            <w:tcW w:type="dxa" w:w="4320"/>
          </w:tcPr>
          <w:p>
            <w:r>
              <w:rPr>
                <w:sz w:val="19"/>
              </w:rPr>
              <w:t>Q2 (apr-giu, apertura)</w:t>
            </w:r>
          </w:p>
        </w:tc>
        <w:tc>
          <w:tcPr>
            <w:tcW w:type="dxa" w:w="4320"/>
          </w:tcPr>
          <w:p>
            <w:r>
              <w:rPr>
                <w:sz w:val="19"/>
              </w:rPr>
              <w:t>Presidiare la domanda di ricerca di picco giugno con listino e pacchetti già pubblicati</w:t>
            </w:r>
          </w:p>
        </w:tc>
      </w:tr>
      <w:tr>
        <w:tc>
          <w:tcPr>
            <w:tcW w:type="dxa" w:w="4320"/>
            <w:shd w:val="clear" w:color="auto" w:fill="EEF2F1"/>
          </w:tcPr>
          <w:p>
            <w:r>
              <w:rPr>
                <w:sz w:val="19"/>
              </w:rPr>
              <w:t>Q3 (lug-set, piena stagione + code)</w:t>
            </w:r>
          </w:p>
        </w:tc>
        <w:tc>
          <w:tcPr>
            <w:tcW w:type="dxa" w:w="4320"/>
            <w:shd w:val="clear" w:color="auto" w:fill="EEF2F1"/>
          </w:tcPr>
          <w:p>
            <w:r>
              <w:rPr>
                <w:sz w:val="19"/>
              </w:rPr>
              <w:t>Raccogliere materiale (foto/recensioni/UGC) in stagione e coprire la coda di settembre sulle quote estere</w:t>
            </w:r>
          </w:p>
        </w:tc>
      </w:tr>
    </w:tbl>
    <w:p>
      <w:pPr>
        <w:spacing w:after="160"/>
      </w:pPr>
    </w:p>
    <w:p>
      <w:pPr>
        <w:spacing w:before="160" w:after="40"/>
      </w:pPr>
      <w:r>
        <w:rPr>
          <w:b/>
          <w:color w:val="2F5D62"/>
          <w:sz w:val="24"/>
        </w:rPr>
        <w:t>Azioni</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Periodo</w:t>
            </w:r>
          </w:p>
        </w:tc>
        <w:tc>
          <w:tcPr>
            <w:tcW w:type="dxa" w:w="2160"/>
            <w:shd w:val="clear" w:color="auto" w:fill="2F5D62"/>
          </w:tcPr>
          <w:p>
            <w:r>
              <w:rPr>
                <w:b/>
                <w:color w:val="FFFFFF"/>
                <w:sz w:val="19"/>
              </w:rPr>
              <w:t>Fase</w:t>
            </w:r>
          </w:p>
        </w:tc>
        <w:tc>
          <w:tcPr>
            <w:tcW w:type="dxa" w:w="2160"/>
            <w:shd w:val="clear" w:color="auto" w:fill="2F5D62"/>
          </w:tcPr>
          <w:p>
            <w:r>
              <w:rPr>
                <w:b/>
                <w:color w:val="FFFFFF"/>
                <w:sz w:val="19"/>
              </w:rPr>
              <w:t>Azioni chiave</w:t>
            </w:r>
          </w:p>
        </w:tc>
        <w:tc>
          <w:tcPr>
            <w:tcW w:type="dxa" w:w="2160"/>
            <w:shd w:val="clear" w:color="auto" w:fill="2F5D62"/>
          </w:tcPr>
          <w:p>
            <w:r>
              <w:rPr>
                <w:b/>
                <w:color w:val="FFFFFF"/>
                <w:sz w:val="19"/>
              </w:rPr>
              <w:t>Owner</w:t>
            </w:r>
          </w:p>
        </w:tc>
      </w:tr>
      <w:tr>
        <w:tc>
          <w:tcPr>
            <w:tcW w:type="dxa" w:w="2160"/>
          </w:tcPr>
          <w:p>
            <w:r>
              <w:rPr>
                <w:sz w:val="19"/>
              </w:rPr>
              <w:t>Ottobre-Dicembre (chiuso)</w:t>
            </w:r>
          </w:p>
        </w:tc>
        <w:tc>
          <w:tcPr>
            <w:tcW w:type="dxa" w:w="2160"/>
          </w:tcPr>
          <w:p>
            <w:r>
              <w:rPr>
                <w:sz w:val="19"/>
              </w:rPr>
              <w:t>Setup</w:t>
            </w:r>
          </w:p>
        </w:tc>
        <w:tc>
          <w:tcPr>
            <w:tcW w:type="dxa" w:w="2160"/>
          </w:tcPr>
          <w:p>
            <w:r>
              <w:rPr>
                <w:sz w:val="19"/>
              </w:rPr>
              <w:t>Aggiornamento sito: dati strutturati mancanti (breadcrumb, FAQ, LocalBusiness, review), rafforzamento pagine /piscina e /offerte con lessico di prodotto (formule, family plan, spiaggia inclusa); ripetizione dell'audit sui tre assistenti AI con esito tecnico completo; verifica schede sui portali di destinazione citati in sez. 03</w:t>
            </w:r>
          </w:p>
        </w:tc>
        <w:tc>
          <w:tcPr>
            <w:tcW w:type="dxa" w:w="2160"/>
          </w:tcPr>
          <w:p>
            <w:r>
              <w:rPr>
                <w:sz w:val="19"/>
              </w:rPr>
              <w:t>Agenzia / Direzione</w:t>
            </w:r>
          </w:p>
        </w:tc>
      </w:tr>
      <w:tr>
        <w:tc>
          <w:tcPr>
            <w:tcW w:type="dxa" w:w="2160"/>
            <w:shd w:val="clear" w:color="auto" w:fill="EEF2F1"/>
          </w:tcPr>
          <w:p>
            <w:r>
              <w:rPr>
                <w:sz w:val="19"/>
              </w:rPr>
              <w:t>Gennaio-Marzo (chiuso → pre-apertura)</w:t>
            </w:r>
          </w:p>
        </w:tc>
        <w:tc>
          <w:tcPr>
            <w:tcW w:type="dxa" w:w="2160"/>
            <w:shd w:val="clear" w:color="auto" w:fill="EEF2F1"/>
          </w:tcPr>
          <w:p>
            <w:r>
              <w:rPr>
                <w:sz w:val="19"/>
              </w:rPr>
              <w:t>Lancio comunicazione</w:t>
            </w:r>
          </w:p>
        </w:tc>
        <w:tc>
          <w:tcPr>
            <w:tcW w:type="dxa" w:w="2160"/>
            <w:shd w:val="clear" w:color="auto" w:fill="EEF2F1"/>
          </w:tcPr>
          <w:p>
            <w:r>
              <w:rPr>
                <w:sz w:val="19"/>
              </w:rPr>
              <w:t>Invio della comunicazione di riapertura ai clienti abituali con data di apertura ben visibile, offerta 'book early' dedicata; pubblicazione del listino e dei pacchetti famiglia (comprensivi di formula e spiaggia) in tempo utile per la domanda a lead time lungo; avvio del presidio SEO sulle keyword stagionali a intento famiglia</w:t>
            </w:r>
          </w:p>
        </w:tc>
        <w:tc>
          <w:tcPr>
            <w:tcW w:type="dxa" w:w="2160"/>
            <w:shd w:val="clear" w:color="auto" w:fill="EEF2F1"/>
          </w:tcPr>
          <w:p>
            <w:r>
              <w:rPr>
                <w:sz w:val="19"/>
              </w:rPr>
              <w:t>Direzione / Agenzia</w:t>
            </w:r>
          </w:p>
        </w:tc>
      </w:tr>
      <w:tr>
        <w:tc>
          <w:tcPr>
            <w:tcW w:type="dxa" w:w="2160"/>
          </w:tcPr>
          <w:p>
            <w:r>
              <w:rPr>
                <w:sz w:val="19"/>
              </w:rPr>
              <w:t>Aprile-Giugno (apertura)</w:t>
            </w:r>
          </w:p>
        </w:tc>
        <w:tc>
          <w:tcPr>
            <w:tcW w:type="dxa" w:w="2160"/>
          </w:tcPr>
          <w:p>
            <w:r>
              <w:rPr>
                <w:sz w:val="19"/>
              </w:rPr>
              <w:t>Lancio stagione</w:t>
            </w:r>
          </w:p>
        </w:tc>
        <w:tc>
          <w:tcPr>
            <w:tcW w:type="dxa" w:w="2160"/>
          </w:tcPr>
          <w:p>
            <w:r>
              <w:rPr>
                <w:sz w:val="19"/>
              </w:rPr>
              <w:t>Attivazione campagne di ricerca e metasearch sul picco di domanda 'hotel cesenatico con piscina' e 'hotel cesenatico all inclusive'; pubblicazione contenuti dedicati al segmento coppie; presidio dei cambi settimana a cavallo di mese con offerte mirate</w:t>
            </w:r>
          </w:p>
        </w:tc>
        <w:tc>
          <w:tcPr>
            <w:tcW w:type="dxa" w:w="2160"/>
          </w:tcPr>
          <w:p>
            <w:r>
              <w:rPr>
                <w:sz w:val="19"/>
              </w:rPr>
              <w:t>Agenzia</w:t>
            </w:r>
          </w:p>
        </w:tc>
      </w:tr>
      <w:tr>
        <w:tc>
          <w:tcPr>
            <w:tcW w:type="dxa" w:w="2160"/>
            <w:shd w:val="clear" w:color="auto" w:fill="EEF2F1"/>
          </w:tcPr>
          <w:p>
            <w:r>
              <w:rPr>
                <w:sz w:val="19"/>
              </w:rPr>
              <w:t>Luglio-Agosto (piena stagione)</w:t>
            </w:r>
          </w:p>
        </w:tc>
        <w:tc>
          <w:tcPr>
            <w:tcW w:type="dxa" w:w="2160"/>
            <w:shd w:val="clear" w:color="auto" w:fill="EEF2F1"/>
          </w:tcPr>
          <w:p>
            <w:r>
              <w:rPr>
                <w:sz w:val="19"/>
              </w:rPr>
              <w:t>Presidio + raccolta</w:t>
            </w:r>
          </w:p>
        </w:tc>
        <w:tc>
          <w:tcPr>
            <w:tcW w:type="dxa" w:w="2160"/>
            <w:shd w:val="clear" w:color="auto" w:fill="EEF2F1"/>
          </w:tcPr>
          <w:p>
            <w:r>
              <w:rPr>
                <w:sz w:val="19"/>
              </w:rPr>
              <w:t>Nessun intervento tecnico: solo gestione reputazione, risposta recensioni, raccolta foto/video e testimonianze per il materiale della stagione successiva; monitoraggio del pattern accessibilità segnalato in sez. 01/03</w:t>
            </w:r>
          </w:p>
        </w:tc>
        <w:tc>
          <w:tcPr>
            <w:tcW w:type="dxa" w:w="2160"/>
            <w:shd w:val="clear" w:color="auto" w:fill="EEF2F1"/>
          </w:tcPr>
          <w:p>
            <w:r>
              <w:rPr>
                <w:sz w:val="19"/>
              </w:rPr>
              <w:t>Direzione / Staff struttura</w:t>
            </w:r>
          </w:p>
        </w:tc>
      </w:tr>
      <w:tr>
        <w:tc>
          <w:tcPr>
            <w:tcW w:type="dxa" w:w="2160"/>
          </w:tcPr>
          <w:p>
            <w:r>
              <w:rPr>
                <w:sz w:val="19"/>
              </w:rPr>
              <w:t>Settembre (coda stagione)</w:t>
            </w:r>
          </w:p>
        </w:tc>
        <w:tc>
          <w:tcPr>
            <w:tcW w:type="dxa" w:w="2160"/>
          </w:tcPr>
          <w:p>
            <w:r>
              <w:rPr>
                <w:sz w:val="19"/>
              </w:rPr>
              <w:t>Ottimizzazione</w:t>
            </w:r>
          </w:p>
        </w:tc>
        <w:tc>
          <w:tcPr>
            <w:tcW w:type="dxa" w:w="2160"/>
          </w:tcPr>
          <w:p>
            <w:r>
              <w:rPr>
                <w:sz w:val="19"/>
              </w:rPr>
              <w:t>Attivazione dei mercati esteri a lead time più lungo per la coda di stagione; prime verifiche sui KPI di visibilità organica e AEO impostati a inizio anno</w:t>
            </w:r>
          </w:p>
        </w:tc>
        <w:tc>
          <w:tcPr>
            <w:tcW w:type="dxa" w:w="2160"/>
          </w:tcPr>
          <w:p>
            <w:r>
              <w:rPr>
                <w:sz w:val="19"/>
              </w:rPr>
              <w:t>Agenzia</w:t>
            </w:r>
          </w:p>
        </w:tc>
      </w:tr>
    </w:tbl>
    <w:p>
      <w:pPr>
        <w:spacing w:after="160"/>
      </w:pPr>
    </w:p>
    <w:p>
      <w:r>
        <w:t>La sequenza rispetta il vincolo di fondo: chi si presenta a vendere quando la domanda ha già scelto è invisibile nel momento che conta. Per questo il listino e i pacchetti famiglia devono essere pubblicati nella finestra di chiusura, non all'avvio della stagione, e la comunicazione ai clienti abituali precede l'apertura della domanda del proprio segmento. Il cantiere di visibilità (dati strutturati, contenuti di prodotto, audit AEO) è collocato negli stessi mesi per lo stesso motivo: arrivare pronti quando la ricerca informazionale sui pacchetti riparte.</w:t>
      </w:r>
    </w:p>
    <w:p>
      <w:pPr>
        <w:spacing w:before="160" w:after="40"/>
      </w:pPr>
      <w:r>
        <w:rPr>
          <w:b/>
          <w:color w:val="2F5D62"/>
          <w:sz w:val="24"/>
        </w:rPr>
        <w:t>KPI</w:t>
      </w:r>
    </w:p>
    <w:p>
      <w:r>
        <w:t>I KPI numerici di controllo della roadmap sono raccolti in sez. 06; qui si segnala solo la cadenza di verifica: checkpoint a fine Q4 (stato del cantiere tecnico), a fine Q1 (invio comunicazione ripetenti e pubblicazione listino), a metà Q2 (attivazione campagne di picco) e a fine Q3 (materiale raccolto e prima lettura della coda estera).</w:t>
      </w:r>
    </w:p>
    <w:p>
      <w:pPr>
        <w:spacing w:before="160" w:after="40"/>
      </w:pPr>
      <w:r>
        <w:rPr>
          <w:b/>
          <w:color w:val="2F5D62"/>
          <w:sz w:val="24"/>
        </w:rPr>
        <w:t>Note esecutive</w:t>
      </w:r>
    </w:p>
    <w:p>
      <w:pPr>
        <w:pStyle w:val="ListBullet"/>
      </w:pPr>
      <w:r>
        <w:t>I mesi di apertura/chiusura sono un'assunzione operativa in assenza di dato dichiarato dal cliente: da confermare prima di fissare le date esatte di invio comunicazioni e pubblicazione listino (v. sez. 08).</w:t>
      </w:r>
    </w:p>
    <w:p>
      <w:pPr>
        <w:pStyle w:val="ListBullet"/>
      </w:pPr>
      <w:r>
        <w:t>Il calendario fieristico non è rilevante per questa struttura: essendo un archetipo stagionale con apertura nei mesi centrali dell'anno, il canale business/MICE resta fuori roadmap salvo eccezioni in stagione da verificare caso per caso.</w:t>
      </w:r>
    </w:p>
    <w:p>
      <w:pPr>
        <w:pStyle w:val="ListBullet"/>
      </w:pPr>
      <w:r>
        <w:t>La finestra di chiusura è anche il momento per completare l'audit di parità tariffaria e presenza su metasearch citato in sez. 03, propedeutico a qualunque investimento sul canale diretto in apertura di stagione.</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1028</w:t>
            </w:r>
          </w:p>
        </w:tc>
        <w:tc>
          <w:tcPr>
            <w:tcW w:type="dxa" w:w="2160"/>
          </w:tcPr>
          <w:p>
            <w:r>
              <w:rPr>
                <w:sz w:val="19"/>
              </w:rPr>
              <w:t>1160</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4.26</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Il piano funziona solo se governato con una cadenza fissa e con indicatori che abbiano una base di partenza reale: dove la baseline manca, l'obiettivo di questa sezione è misurare, non promettere un numero. La governance qui definita è l'unica sede del piano in cui compaiono i KPI numerici: le altre sezioni vi rimandano senza ripeterli.</w:t>
      </w:r>
    </w:p>
    <w:p>
      <w:pPr>
        <w:spacing w:before="160" w:after="40"/>
      </w:pPr>
      <w:r>
        <w:rPr>
          <w:b/>
          <w:color w:val="2F5D62"/>
          <w:sz w:val="24"/>
        </w:rPr>
        <w:t>Cruscotto KPI nord (decision record)</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 / obiettivo</w:t>
            </w:r>
          </w:p>
        </w:tc>
        <w:tc>
          <w:tcPr>
            <w:tcW w:type="dxa" w:w="2160"/>
            <w:shd w:val="clear" w:color="auto" w:fill="2F5D62"/>
          </w:tcPr>
          <w:p>
            <w:r>
              <w:rPr>
                <w:b/>
                <w:color w:val="FFFFFF"/>
                <w:sz w:val="19"/>
              </w:rPr>
              <w:t>Tipo</w:t>
            </w:r>
          </w:p>
        </w:tc>
      </w:tr>
      <w:tr>
        <w:tc>
          <w:tcPr>
            <w:tcW w:type="dxa" w:w="2160"/>
          </w:tcPr>
          <w:p>
            <w:r>
              <w:rPr>
                <w:sz w:val="19"/>
              </w:rPr>
              <w:t>Copertura organica sulle 32 keyword di domanda pertinenti (§5bis)</w:t>
            </w:r>
          </w:p>
        </w:tc>
        <w:tc>
          <w:tcPr>
            <w:tcW w:type="dxa" w:w="2160"/>
          </w:tcPr>
          <w:p>
            <w:r>
              <w:rPr>
                <w:sz w:val="19"/>
              </w:rPr>
              <w:t>0 presidiate su 32 (~32.820/mese in gap)</w:t>
            </w:r>
          </w:p>
        </w:tc>
        <w:tc>
          <w:tcPr>
            <w:tcW w:type="dxa" w:w="2160"/>
          </w:tcPr>
          <w:p>
            <w:r>
              <w:rPr>
                <w:sz w:val="19"/>
              </w:rPr>
              <w:t>Ingresso in top 10 su un primo nucleo prioritario (v. sez. 03)</w:t>
            </w:r>
          </w:p>
        </w:tc>
        <w:tc>
          <w:tcPr>
            <w:tcW w:type="dxa" w:w="2160"/>
          </w:tcPr>
          <w:p>
            <w:r>
              <w:rPr>
                <w:sz w:val="19"/>
              </w:rPr>
              <w:t>Target con baseline</w:t>
            </w:r>
          </w:p>
        </w:tc>
      </w:tr>
      <w:tr>
        <w:tc>
          <w:tcPr>
            <w:tcW w:type="dxa" w:w="2160"/>
            <w:shd w:val="clear" w:color="auto" w:fill="EEF2F1"/>
          </w:tcPr>
          <w:p>
            <w:r>
              <w:rPr>
                <w:sz w:val="19"/>
              </w:rPr>
              <w:t>Rating aggregato multi-piattaforma</w:t>
            </w:r>
          </w:p>
        </w:tc>
        <w:tc>
          <w:tcPr>
            <w:tcW w:type="dxa" w:w="2160"/>
            <w:shd w:val="clear" w:color="auto" w:fill="EEF2F1"/>
          </w:tcPr>
          <w:p>
            <w:r>
              <w:rPr>
                <w:sz w:val="19"/>
              </w:rPr>
              <w:t>4,26/5</w:t>
            </w:r>
          </w:p>
        </w:tc>
        <w:tc>
          <w:tcPr>
            <w:tcW w:type="dxa" w:w="2160"/>
            <w:shd w:val="clear" w:color="auto" w:fill="EEF2F1"/>
          </w:tcPr>
          <w:p>
            <w:r>
              <w:rPr>
                <w:sz w:val="19"/>
              </w:rPr>
              <w:t>Tenuta o miglioramento su orizzonte pluriennale (KPI di score lento)</w:t>
            </w:r>
          </w:p>
        </w:tc>
        <w:tc>
          <w:tcPr>
            <w:tcW w:type="dxa" w:w="2160"/>
            <w:shd w:val="clear" w:color="auto" w:fill="EEF2F1"/>
          </w:tcPr>
          <w:p>
            <w:r>
              <w:rPr>
                <w:sz w:val="19"/>
              </w:rPr>
              <w:t>Target con baseline, orizzonte lungo</w:t>
            </w:r>
          </w:p>
        </w:tc>
      </w:tr>
      <w:tr>
        <w:tc>
          <w:tcPr>
            <w:tcW w:type="dxa" w:w="2160"/>
          </w:tcPr>
          <w:p>
            <w:r>
              <w:rPr>
                <w:sz w:val="19"/>
              </w:rPr>
              <w:t>Quota di clienti abituali</w:t>
            </w:r>
          </w:p>
        </w:tc>
        <w:tc>
          <w:tcPr>
            <w:tcW w:type="dxa" w:w="2160"/>
          </w:tcPr>
          <w:p>
            <w:r>
              <w:rPr>
                <w:sz w:val="19"/>
              </w:rPr>
              <w:t>9% (recensioni)</w:t>
            </w:r>
          </w:p>
        </w:tc>
        <w:tc>
          <w:tcPr>
            <w:tcW w:type="dxa" w:w="2160"/>
          </w:tcPr>
          <w:p>
            <w:r>
              <w:rPr>
                <w:sz w:val="19"/>
              </w:rPr>
              <w:t>Obiettivo di processo: impostare la misurazione strutturata dei ripetenti (v. sez. 02)</w:t>
            </w:r>
          </w:p>
        </w:tc>
        <w:tc>
          <w:tcPr>
            <w:tcW w:type="dxa" w:w="2160"/>
          </w:tcPr>
          <w:p>
            <w:r>
              <w:rPr>
                <w:sz w:val="19"/>
              </w:rPr>
              <w:t>Obiettivo di processo</w:t>
            </w:r>
          </w:p>
        </w:tc>
      </w:tr>
      <w:tr>
        <w:tc>
          <w:tcPr>
            <w:tcW w:type="dxa" w:w="2160"/>
            <w:shd w:val="clear" w:color="auto" w:fill="EEF2F1"/>
          </w:tcPr>
          <w:p>
            <w:r>
              <w:rPr>
                <w:sz w:val="19"/>
              </w:rPr>
              <w:t>Direct-booking ratio</w:t>
            </w:r>
          </w:p>
        </w:tc>
        <w:tc>
          <w:tcPr>
            <w:tcW w:type="dxa" w:w="2160"/>
            <w:shd w:val="clear" w:color="auto" w:fill="EEF2F1"/>
          </w:tcPr>
          <w:p>
            <w:r>
              <w:rPr>
                <w:sz w:val="19"/>
              </w:rPr>
              <w:t>Non disponibile</w:t>
            </w:r>
          </w:p>
        </w:tc>
        <w:tc>
          <w:tcPr>
            <w:tcW w:type="dxa" w:w="2160"/>
            <w:shd w:val="clear" w:color="auto" w:fill="EEF2F1"/>
          </w:tcPr>
          <w:p>
            <w:r>
              <w:rPr>
                <w:sz w:val="19"/>
              </w:rPr>
              <w:t>Obiettivo di processo: rilevare la baseline reale prima di fissare un target</w:t>
            </w:r>
          </w:p>
        </w:tc>
        <w:tc>
          <w:tcPr>
            <w:tcW w:type="dxa" w:w="2160"/>
            <w:shd w:val="clear" w:color="auto" w:fill="EEF2F1"/>
          </w:tcPr>
          <w:p>
            <w:r>
              <w:rPr>
                <w:sz w:val="19"/>
              </w:rPr>
              <w:t>Obiettivo di processo</w:t>
            </w:r>
          </w:p>
        </w:tc>
      </w:tr>
      <w:tr>
        <w:tc>
          <w:tcPr>
            <w:tcW w:type="dxa" w:w="2160"/>
          </w:tcPr>
          <w:p>
            <w:r>
              <w:rPr>
                <w:sz w:val="19"/>
              </w:rPr>
              <w:t>Parità tariffaria diretto vs OTA/metasearch</w:t>
            </w:r>
          </w:p>
        </w:tc>
        <w:tc>
          <w:tcPr>
            <w:tcW w:type="dxa" w:w="2160"/>
          </w:tcPr>
          <w:p>
            <w:r>
              <w:rPr>
                <w:sz w:val="19"/>
              </w:rPr>
              <w:t>Non disponibile</w:t>
            </w:r>
          </w:p>
        </w:tc>
        <w:tc>
          <w:tcPr>
            <w:tcW w:type="dxa" w:w="2160"/>
          </w:tcPr>
          <w:p>
            <w:r>
              <w:rPr>
                <w:sz w:val="19"/>
              </w:rPr>
              <w:t>Obiettivo di processo: eseguire l'audit di parità (v. sez. 04)</w:t>
            </w:r>
          </w:p>
        </w:tc>
        <w:tc>
          <w:tcPr>
            <w:tcW w:type="dxa" w:w="2160"/>
          </w:tcPr>
          <w:p>
            <w:r>
              <w:rPr>
                <w:sz w:val="19"/>
              </w:rPr>
              <w:t>Obiettivo di processo</w:t>
            </w:r>
          </w:p>
        </w:tc>
      </w:tr>
      <w:tr>
        <w:tc>
          <w:tcPr>
            <w:tcW w:type="dxa" w:w="2160"/>
            <w:shd w:val="clear" w:color="auto" w:fill="EEF2F1"/>
          </w:tcPr>
          <w:p>
            <w:r>
              <w:rPr>
                <w:sz w:val="19"/>
              </w:rPr>
              <w:t>Presenza/coerenza scheda sui due portali di destinazione presidiati (§ contesto di canale)</w:t>
            </w:r>
          </w:p>
        </w:tc>
        <w:tc>
          <w:tcPr>
            <w:tcW w:type="dxa" w:w="2160"/>
            <w:shd w:val="clear" w:color="auto" w:fill="EEF2F1"/>
          </w:tcPr>
          <w:p>
            <w:r>
              <w:rPr>
                <w:sz w:val="19"/>
              </w:rPr>
              <w:t>Da verificare</w:t>
            </w:r>
          </w:p>
        </w:tc>
        <w:tc>
          <w:tcPr>
            <w:tcW w:type="dxa" w:w="2160"/>
            <w:shd w:val="clear" w:color="auto" w:fill="EEF2F1"/>
          </w:tcPr>
          <w:p>
            <w:r>
              <w:rPr>
                <w:sz w:val="19"/>
              </w:rPr>
              <w:t>Schede attive, aggiornate e coerenti su entrambi i portali entro il primo checkpoint utile</w:t>
            </w:r>
          </w:p>
        </w:tc>
        <w:tc>
          <w:tcPr>
            <w:tcW w:type="dxa" w:w="2160"/>
            <w:shd w:val="clear" w:color="auto" w:fill="EEF2F1"/>
          </w:tcPr>
          <w:p>
            <w:r>
              <w:rPr>
                <w:sz w:val="19"/>
              </w:rPr>
              <w:t>Obiettivo di processo</w:t>
            </w:r>
          </w:p>
        </w:tc>
      </w:tr>
      <w:tr>
        <w:tc>
          <w:tcPr>
            <w:tcW w:type="dxa" w:w="2160"/>
          </w:tcPr>
          <w:p>
            <w:r>
              <w:rPr>
                <w:sz w:val="19"/>
              </w:rPr>
              <w:t>Esito audit visibilità sugli assistenti conversazionali</w:t>
            </w:r>
          </w:p>
        </w:tc>
        <w:tc>
          <w:tcPr>
            <w:tcW w:type="dxa" w:w="2160"/>
          </w:tcPr>
          <w:p>
            <w:r>
              <w:rPr>
                <w:sz w:val="19"/>
              </w:rPr>
              <w:t>1 assistente misurato su 3 previsti, esito assente sui 4 segmenti testati</w:t>
            </w:r>
          </w:p>
        </w:tc>
        <w:tc>
          <w:tcPr>
            <w:tcW w:type="dxa" w:w="2160"/>
          </w:tcPr>
          <w:p>
            <w:r>
              <w:rPr>
                <w:sz w:val="19"/>
              </w:rPr>
              <w:t>Audit completo sui 3 assistenti, poi tracciamento ricorrente</w:t>
            </w:r>
          </w:p>
        </w:tc>
        <w:tc>
          <w:tcPr>
            <w:tcW w:type="dxa" w:w="2160"/>
          </w:tcPr>
          <w:p>
            <w:r>
              <w:rPr>
                <w:sz w:val="19"/>
              </w:rPr>
              <w:t>Obiettivo di processo</w:t>
            </w:r>
          </w:p>
        </w:tc>
      </w:tr>
    </w:tbl>
    <w:p>
      <w:pPr>
        <w:spacing w:after="160"/>
      </w:pPr>
    </w:p>
    <w:p>
      <w:pPr>
        <w:spacing w:before="160" w:after="40"/>
      </w:pPr>
      <w:r>
        <w:rPr>
          <w:b/>
          <w:color w:val="2F5D62"/>
          <w:sz w:val="24"/>
        </w:rPr>
        <w:t>Obiettivi misurabili</w:t>
      </w:r>
    </w:p>
    <w:p>
      <w:pPr>
        <w:pStyle w:val="ListBullet"/>
      </w:pPr>
      <w:r>
        <w:t>Portare in top 10 un primo nucleo di keyword oggi non presidiate, verificando l'avanzamento a ogni checkpoint di reporting (v. sez. 03 per il dettaglio del nucleo).</w:t>
      </w:r>
    </w:p>
    <w:p>
      <w:pPr>
        <w:pStyle w:val="ListBullet"/>
      </w:pPr>
      <w:r>
        <w:t>Impostare, entro il primo trimestre di governance, la raccolta della baseline su quota diretta e su parità tariffaria: senza questi due dati nessun target di canale può essere validato.</w:t>
      </w:r>
    </w:p>
    <w:p>
      <w:pPr>
        <w:pStyle w:val="ListBullet"/>
      </w:pPr>
      <w:r>
        <w:t>Attivare un cruscotto di monitoraggio reputazionale multi-piattaforma che tenga insieme i punteggi già noti e ne segua la variazione nel tempo, senza attendersi scatti in tempi brevi.</w:t>
      </w:r>
    </w:p>
    <w:p>
      <w:pPr>
        <w:pStyle w:val="ListBullet"/>
      </w:pPr>
      <w:r>
        <w:t>Completare l'audit di visibilità sugli assistenti conversazionali sui tre motori previsti, per sostituire il dato provvisorio con una lettura piena.</w:t>
      </w:r>
    </w:p>
    <w:p>
      <w:pPr>
        <w:spacing w:before="160" w:after="40"/>
      </w:pPr>
      <w:r>
        <w:rPr>
          <w:b/>
          <w:color w:val="2F5D62"/>
          <w:sz w:val="24"/>
        </w:rPr>
        <w:t>Azioni</w:t>
      </w:r>
    </w:p>
    <w:p>
      <w:pPr>
        <w:pStyle w:val="ListBullet"/>
      </w:pPr>
      <w:r>
        <w:t>Il gap organico misurato in sede diagnostica (zero presidio su un volume di domanda a cinque cifre) resta un numero morto finché non entra in un ciclo di controllo periodico: va quindi istituito un checkpoint ricorrente che confronti il posizionamento reale delle keyword del nucleo prioritario con lo stato di partenza, in modo da distinguere un piano che funziona da uno che va corretto in corsa.</w:t>
      </w:r>
    </w:p>
    <w:p>
      <w:pPr>
        <w:pStyle w:val="ListBullet"/>
      </w:pPr>
      <w:r>
        <w:t>L'assenza di dati su quota diretta e parità tariffaria rende oggi impossibile fissare un obiettivo di distribuzione credibile: prima di qualunque investimento incrementale sul canale diretto va quindi aperta la raccolta di questi due dati presso la struttura, e il target numerico verrà scritto solo una volta disponibile la base di partenza, non prima.</w:t>
      </w:r>
    </w:p>
    <w:p>
      <w:pPr>
        <w:pStyle w:val="ListBullet"/>
      </w:pPr>
      <w:r>
        <w:t>I punteggi di reputazione aggregata si muovono per natura con lentezza, essendo medie cumulate su centinaia di recensioni: il cruscotto deve quindi riportare la variazione rispetto al dato attuale con una lettura a orizzonte lungo, evitando di leggere come fallimento un trimestre in cui il punteggio resta stabile.</w:t>
      </w:r>
    </w:p>
    <w:p>
      <w:pPr>
        <w:pStyle w:val="ListBullet"/>
      </w:pPr>
      <w:r>
        <w:t>L'audit di visibilità sugli assistenti conversazionali è oggi parziale per un limite tecnico su due dei tre motori previsti: la priorità operativa immediata è completarlo sui tre assistenti, perché fino ad allora l'esito di assenza rilevato su un solo motore non può essere generalizzato né usato come base per un target.</w:t>
      </w:r>
    </w:p>
    <w:p>
      <w:pPr>
        <w:pStyle w:val="ListBullet"/>
      </w:pPr>
      <w:r>
        <w:t>La presenza sui due portali di destinazione individuati nel contesto di canale va verificata e poi ricontrollata a ogni ciclo di reporting, perché è un presidio a basso sforzo che sostiene sia l'intercettazione della domanda locale sia la coerenza dei dati struttura citabile da fonti terze.</w:t>
      </w:r>
    </w:p>
    <w:p>
      <w:pPr>
        <w:spacing w:before="160" w:after="40"/>
      </w:pPr>
      <w:r>
        <w:rPr>
          <w:b/>
          <w:color w:val="2F5D62"/>
          <w:sz w:val="24"/>
        </w:rPr>
        <w:t>KPI</w:t>
      </w:r>
    </w:p>
    <w:p>
      <w:pPr>
        <w:pStyle w:val="ListBullet"/>
      </w:pPr>
      <w:r>
        <w:t>Numero di keyword del nucleo prioritario entrate in top 10, rilevato a ogni checkpoint rispetto allo zero di partenza.</w:t>
      </w:r>
    </w:p>
    <w:p>
      <w:pPr>
        <w:pStyle w:val="ListBullet"/>
      </w:pPr>
      <w:r>
        <w:t>Rating aggregato multi-piattaforma, monitorato a cadenza periodica rispetto al valore attuale, con lettura a orizzonte lungo.</w:t>
      </w:r>
    </w:p>
    <w:p>
      <w:pPr>
        <w:pStyle w:val="ListBullet"/>
      </w:pPr>
      <w:r>
        <w:t>Stato di completamento dell'audit di visibilità sugli assistenti conversazionali (assistenti misurati su 3 previsti).</w:t>
      </w:r>
    </w:p>
    <w:p>
      <w:pPr>
        <w:pStyle w:val="ListBullet"/>
      </w:pPr>
      <w:r>
        <w:t>Presenza/coerenza della scheda sui due portali di destinazione (verificata sì/no a ogni ciclo).</w:t>
      </w:r>
    </w:p>
    <w:p>
      <w:pPr>
        <w:pStyle w:val="ListBullet"/>
      </w:pPr>
      <w:r>
        <w:t>Disponibilità della baseline su quota diretta e su parità tariffaria (raccolta completata sì/no): condizione propedeutica a qualunque target futuro di canale.</w:t>
      </w:r>
    </w:p>
    <w:p>
      <w:pPr>
        <w:spacing w:before="160" w:after="40"/>
      </w:pPr>
      <w:r>
        <w:rPr>
          <w:b/>
          <w:color w:val="2F5D62"/>
          <w:sz w:val="24"/>
        </w:rPr>
        <w:t>Note esecutive</w:t>
      </w:r>
    </w:p>
    <w:p>
      <w:pPr>
        <w:pStyle w:val="ListBullet"/>
      </w:pPr>
      <w:r>
        <w:t>I benchmark di settore su costo di acquisizione e ritorno pubblicitario citati altrove nel piano restano riferimenti da validare con i dati reali della struttura, non obiettivi propri da inserire in questo cruscotto finché mancano gli attuali del cliente.</w:t>
      </w:r>
    </w:p>
    <w:p>
      <w:pPr>
        <w:pStyle w:val="ListBullet"/>
      </w:pPr>
      <w:r>
        <w:t>Le metriche tariffarie e di rendimento della struttura restano di competenza della proprietà e non compaiono tra i KPI di questo piano.</w:t>
      </w:r>
    </w:p>
    <w:p>
      <w:pPr>
        <w:pStyle w:val="ListBullet"/>
      </w:pPr>
      <w:r>
        <w:t>La cadenza di reporting va fissata in accordo con la proprietà in base alla disponibilità di accesso agli strumenti di misurazione (v. box assunzioni e input mancanti): senza tali accessi alcuni KPI di questa tabella restano solo obiettivi di processo.</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3-4% del ricavo (stadio: maturità).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Adria Beach Club è una struttura stagionale con investimento marketing oggi non quantificato: prima di parlare di importi, va fissata la logica di ripartizione. La priorità non è aumentare la spesa complessiva ma redirigerla verso ciò che oggi manca del tutto — presidio organico e metasearch — senza smobilitare in un colpo solo il canale che porta occupazione, mantenendo comunque la disciplina stagionale già fissata in roadmap: lavoro di impostazione nei mesi di chiusura, spinta commerciale nei mesi che precedono l'apertura, presidio ravvicinato nel vivo della stagione.</w:t>
      </w:r>
    </w:p>
    <w:p>
      <w:r>
        <w:t>La tabella è la stessa matrice di canale già stabilita in sede di strategia: qui la si legge in chiave di peso economico, non di priorità d'azione. Il criterio di lettura resta lo stesso della sez. 03 — chiudere per primo il vuoto totale su ricerca organica e metasearch, poi consolidare CRM e social.</w:t>
      </w:r>
    </w:p>
    <w:p>
      <w:pPr>
        <w:spacing w:before="160" w:after="40"/>
      </w:pPr>
      <w:r>
        <w:rPr>
          <w:b/>
          <w:color w:val="2F5D62"/>
          <w:sz w:val="24"/>
        </w:rPr>
        <w:t>Obiettivi misurabili</w:t>
      </w:r>
    </w:p>
    <w:p>
      <w:pPr>
        <w:pStyle w:val="ListBullet"/>
      </w:pPr>
      <w:r>
        <w:t>Adottare la ripartizione percentuale di cui sopra come riferimento di pianificazione, da tradurre in importi solo una volta noto il ricavo reale della struttura (v. sez. 08 per l'input mancante)</w:t>
      </w:r>
    </w:p>
    <w:p>
      <w:pPr>
        <w:pStyle w:val="ListBullet"/>
      </w:pPr>
      <w:r>
        <w:t>Impostare un ciclo di riallocazione trimestrale tra le voci, sulla base delle performance osservate per canale (v. sez. 06 per i KPI di controllo)</w:t>
      </w:r>
    </w:p>
    <w:p>
      <w:pPr>
        <w:spacing w:before="160" w:after="40"/>
      </w:pPr>
      <w:r>
        <w:rPr>
          <w:b/>
          <w:color w:val="2F5D62"/>
          <w:sz w:val="24"/>
        </w:rPr>
        <w:t>Azioni</w:t>
      </w:r>
    </w:p>
    <w:p>
      <w:pPr>
        <w:pStyle w:val="ListBullet"/>
      </w:pPr>
      <w:r>
        <w:t>La quota più consistente della tabella va a search &amp; metasearch, ma oggi la struttura parte da zero keyword presidiate su domanda pertinente: destinare questa quota, in avvio, prevalentemente a colmare la visibilità organica e a presidiare i comparatori tariffari dove il cliente decide a ridosso delle date, prima ancora di spingere su campagne a pagamento aggressive: senza pagine e dati strutturati pronti, la spesa su ricerca a pagamento rischia di portare traffico su un sito non ancora pronto a convertirlo.</w:t>
      </w:r>
    </w:p>
    <w:p>
      <w:pPr>
        <w:pStyle w:val="ListBullet"/>
      </w:pPr>
      <w:r>
        <w:t>La quota SEO &amp; content &amp; local è la leva che chiude il divario più critico rilevato in fase diagnostica: va impegnata per intero nei mesi di chiusura, quando il cantiere digitale è aperto, e non nei mesi di apertura quando la struttura non ha capacità di seguire un progetto di contenuti.</w:t>
      </w:r>
    </w:p>
    <w:p>
      <w:pPr>
        <w:pStyle w:val="ListBullet"/>
      </w:pPr>
      <w:r>
        <w:t>La quota email/CRM, pur minoritaria nella tabella, va attivata per prima nel calendario, perché la comunicazione ai clienti abituali precede l'apertura della domanda diretta e non richiede investimento incrementale rilevante rispetto alle altre voci: è la quota a più alto ritorno relativo per una struttura che vive di ripetenti.</w:t>
      </w:r>
    </w:p>
    <w:p>
      <w:pPr>
        <w:pStyle w:val="ListBullet"/>
      </w:pPr>
      <w:r>
        <w:t>La quota social &amp; video va programmata in due tempi: raccolta di materiale a struttura aperta (già previsto in roadmap) e attivazione/spinta nei mesi di chiusura e pre-apertura, evitando di concentrare budget social nel pieno della stagione quando la produzione di contenuti nuovi è più difficile da presidiare.</w:t>
      </w:r>
    </w:p>
    <w:p>
      <w:pPr>
        <w:pStyle w:val="ListBullet"/>
      </w:pPr>
      <w:r>
        <w:t>La quota display/retargeting, la più contenuta della tabella, va riservata alle settimane a ridosso delle date di soggiorno più richieste, coerentemente con la doppia finestra di campagna (anticipata e ravvicinata) già fissata in roadmap, e non distribuita in modo costante lungo l'anno.</w:t>
      </w:r>
    </w:p>
    <w:p>
      <w:pPr>
        <w:pStyle w:val="ListBullet"/>
      </w:pPr>
      <w:r>
        <w:t>Ogni trimestre, la spesa per canale va confrontata con le performance osservate (KPI di canale, v. sez. 06) e riallocata tra le voci della tabella: la ripartizione qui indicata è un punto di partenza, non un vincolo rigido per i dodici mesi.</w:t>
      </w:r>
    </w:p>
    <w:p>
      <w:pPr>
        <w:spacing w:before="160" w:after="40"/>
      </w:pPr>
      <w:r>
        <w:rPr>
          <w:b/>
          <w:color w:val="2F5D62"/>
          <w:sz w:val="24"/>
        </w:rPr>
        <w:t>KPI</w:t>
      </w:r>
    </w:p>
    <w:p>
      <w:pPr>
        <w:pStyle w:val="ListBullet"/>
      </w:pPr>
      <w:r>
        <w:t>KPI di canale e di misurazione: v. sez. 06 (Measurement).</w:t>
      </w:r>
    </w:p>
    <w:p>
      <w:pPr>
        <w:spacing w:before="160" w:after="40"/>
      </w:pPr>
      <w:r>
        <w:rPr>
          <w:b/>
          <w:color w:val="2F5D62"/>
          <w:sz w:val="24"/>
        </w:rPr>
        <w:t>Note esecutive</w:t>
      </w:r>
    </w:p>
    <w:p>
      <w:pPr>
        <w:pStyle w:val="ListBullet"/>
      </w:pPr>
      <w:r>
        <w:t>La ripartizione qui presentata è espressa esclusivamente in percentuale: la sua traduzione in importi assoluti richiede il ricavo reale della struttura, oggi non disponibile, e resta un input da raccogliere (v. sez. 08).</w:t>
      </w:r>
    </w:p>
    <w:p>
      <w:pPr>
        <w:pStyle w:val="ListBullet"/>
      </w:pPr>
      <w:r>
        <w:t>Le metriche tariffarie e di rendimento restano di competenza della struttura: questo piano non tocca prezzi e listini se non come vetrina, e la ripartizione di budget non presuppone né stima alcun valore di ricavo.</w:t>
      </w:r>
    </w:p>
    <w:p>
      <w:pPr>
        <w:pStyle w:val="ListBullet"/>
      </w:pPr>
      <w:r>
        <w:t>La proposta economica con gli importi effettivi è un allegato separato, di competenza dell'agenzia, e non fa parte di questo piano.</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su dati reali di reputazione, domanda di ricerca e connettività aerea, ma alcuni ingressi restano da colmare prima di poter fissare target numerici definitivi o passare a un preventivo economico. Questo box li elenca in modo trasparente, separando i benchmark di settore usati come riferimento (da validare) dagli input che solo la struttura può fornire: senza questo passaggio le azioni proposte nelle sezioni precedenti restano corrette in direzione ma non ancora calibrate sui numeri specifici di Adria Beach Club.</w:t>
      </w:r>
    </w:p>
    <w:p>
      <w:pPr>
        <w:spacing w:before="160" w:after="40"/>
      </w:pPr>
      <w:r>
        <w:rPr>
          <w:b/>
          <w:color w:val="2F5D62"/>
          <w:sz w:val="24"/>
        </w:rPr>
        <w:t>Obiettivi misurabili</w:t>
      </w:r>
    </w:p>
    <w:p>
      <w:pPr>
        <w:pStyle w:val="ListBullet"/>
      </w:pPr>
      <w:r>
        <w:t>Raccogliere entro il primo mese operativo l'accesso a Google Business Profile, booking engine/PMS e (se esistenti) GA4 e Search Console</w:t>
      </w:r>
    </w:p>
    <w:p>
      <w:pPr>
        <w:pStyle w:val="ListBullet"/>
      </w:pPr>
      <w:r>
        <w:t>Ottenere dal cliente la quota storica di prenotazioni dirette vs OTA e il budget marketing reale, come base per calibrare i target del capitolo di misurazione</w:t>
      </w:r>
    </w:p>
    <w:p>
      <w:pPr>
        <w:pStyle w:val="ListBullet"/>
      </w:pPr>
      <w:r>
        <w:t>Validare l'audit di visibilità sugli assistenti AI su tutti e tre gli strumenti previsti, oggi completo solo su uno</w:t>
      </w:r>
    </w:p>
    <w:p>
      <w:pPr>
        <w:spacing w:before="160" w:after="40"/>
      </w:pPr>
      <w:r>
        <w:rPr>
          <w:b/>
          <w:color w:val="2F5D62"/>
          <w:sz w:val="24"/>
        </w:rPr>
        <w:t>Azioni</w:t>
      </w:r>
    </w:p>
    <w:p>
      <w:r>
        <w:t>I benchmark di acquisizione citati nel piano — differenziale di costo tra canale diretto e commissione OTA, ordine di grandezza del ritorno su campagne brand/metasearch — sono riferimenti di settore, non numeri misurati su Adria Beach Club: usarli oggi come target equivarrebbe a promettere un risultato che nessun dato cliente sostiene. La conseguenza operativa è che il primo mese di lavoro non è fatto di campagne ma di raccolta: recuperare dal gestionale la quota reale di prenotazioni dirette e il relativo costo di acquisizione storico (se tracciato), così da sostituire il benchmark con un dato proprio prima di fissare qualunque obiettivo di canale.</w:t>
      </w:r>
    </w:p>
    <w:p>
      <w:r>
        <w:t>La ripartizione percentuale di budget proposta nelle sezioni di canale è una struttura di allocazione tra attività, non un importo: trasformarla in cifra richiede il ricavo camere reale della struttura, oggi non disponibile. La conseguenza è che l'importo assoluto da investire resta di competenza di una proposta commerciale separata, costruita insieme all'agenzia una volta condiviso il dato di ricavo; qui la sequenza e i pesi tra attività restano validi indipendentemente dalla cifra finale.</w:t>
      </w:r>
    </w:p>
    <w:p>
      <w:r>
        <w:t>L'analisi della domanda di ricerca è già un dato acquisito e non un input mancante: il ledger di 32 parole chiave pertinenti con relativi volumi è già stato usato per costruire le priorità di contenuto nelle sezioni precedenti. Ciò che resta da aggiungere è la verifica in Search Console delle query effettivamente intercettate dal sito e in Google Analytics del comportamento dei visitatori su quelle pagine: un delta che arricchisce il quadro ma non lo azzera, e che va trattato come aggiornamento datato quando disponibile, non come nuova baseline.</w:t>
      </w:r>
    </w:p>
    <w:p>
      <w:r>
        <w:t>Le metriche tariffarie e di rendimento (formule di prezzo, andamento delle vendite camera, valorizzazione dei periodi) restano di competenza della struttura: questo piano non le tratta e non le stima, nemmeno come esempio. Vanno però segnalate come input mancante nel senso opposto: se la proprietà dispone di dati storici su occupazione e vendite per periodo, condividerli con l'agenzia aiuta a leggere meglio l'efficacia delle azioni di marketing proposte, restando la decisione tariffaria sempre in capo alla struttura.</w:t>
      </w:r>
    </w:p>
    <w:p>
      <w:r>
        <w:t>Il calendario di eventi locali della riviera (Notte Rosa e altri appuntamenti stagionali, già richiamati nella roadmap) è stato usato come riferimento generale; una versione aggiornata e completa, con date certe per l'anno in corso, va richiesta alla struttura o alle fonti turistiche locali per affinare il calendario editoriale e le finestre di campagna a ridosso degli eventi.</w:t>
      </w:r>
    </w:p>
    <w:p>
      <w:r>
        <w:t>L'audit di visibilità sugli assistenti AI ha misurato con successo un solo strumento su tre previsti, restituendo un esito di assenza solo parziale: gli altri due risultano non misurati per un problema tecnico di accesso, non verificati come assenti. La conseguenza è che l'urgenza reale del gap AEO sui restanti due strumenti non è ancora quantificata; va ripetuta la rilevazione con accesso funzionante prima di dimensionare ulteriormente l'investimento su contenuti ottimizzati per la ricerca conversazionale.</w:t>
      </w:r>
    </w:p>
    <w:p>
      <w:pPr>
        <w:spacing w:before="160" w:after="40"/>
      </w:pPr>
      <w:r>
        <w:rPr>
          <w:b/>
          <w:color w:val="2F5D62"/>
          <w:sz w:val="24"/>
        </w:rPr>
        <w:t>KPI</w:t>
      </w:r>
    </w:p>
    <w:p>
      <w:r>
        <w:t>I KPI numerici del piano vivono nella sezione di misurazione (v. sez. 06); qui il controllo è di processo: verificare, entro la prima finestra operativa, che ciascuno degli input elencati sia stato richiesto al cliente e — dove disponibile — ricevuto e caricato negli strumenti di monitoraggio condivisi con l'agenzia.</w:t>
      </w:r>
    </w:p>
    <w:p>
      <w:pPr>
        <w:spacing w:before="160" w:after="40"/>
      </w:pPr>
      <w:r>
        <w:rPr>
          <w:b/>
          <w:color w:val="2F5D62"/>
          <w:sz w:val="24"/>
        </w:rPr>
        <w:t>Note esecutive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Input</w:t>
            </w:r>
          </w:p>
        </w:tc>
        <w:tc>
          <w:tcPr>
            <w:tcW w:type="dxa" w:w="2880"/>
            <w:shd w:val="clear" w:color="auto" w:fill="2F5D62"/>
          </w:tcPr>
          <w:p>
            <w:r>
              <w:rPr>
                <w:b/>
                <w:color w:val="FFFFFF"/>
                <w:sz w:val="19"/>
              </w:rPr>
              <w:t>Natura</w:t>
            </w:r>
          </w:p>
        </w:tc>
        <w:tc>
          <w:tcPr>
            <w:tcW w:type="dxa" w:w="2880"/>
            <w:shd w:val="clear" w:color="auto" w:fill="2F5D62"/>
          </w:tcPr>
          <w:p>
            <w:r>
              <w:rPr>
                <w:b/>
                <w:color w:val="FFFFFF"/>
                <w:sz w:val="19"/>
              </w:rPr>
              <w:t>Uso nel piano</w:t>
            </w:r>
          </w:p>
        </w:tc>
      </w:tr>
      <w:tr>
        <w:tc>
          <w:tcPr>
            <w:tcW w:type="dxa" w:w="2880"/>
          </w:tcPr>
          <w:p>
            <w:r>
              <w:rPr>
                <w:sz w:val="19"/>
              </w:rPr>
              <w:t>Quota storica prenotazioni dirette vs OTA e CAC per canale</w:t>
            </w:r>
          </w:p>
        </w:tc>
        <w:tc>
          <w:tcPr>
            <w:tcW w:type="dxa" w:w="2880"/>
          </w:tcPr>
          <w:p>
            <w:r>
              <w:rPr>
                <w:sz w:val="19"/>
              </w:rPr>
              <w:t>Dato cliente mancante</w:t>
            </w:r>
          </w:p>
        </w:tc>
        <w:tc>
          <w:tcPr>
            <w:tcW w:type="dxa" w:w="2880"/>
          </w:tcPr>
          <w:p>
            <w:r>
              <w:rPr>
                <w:sz w:val="19"/>
              </w:rPr>
              <w:t>Necessario per calibrare gli obiettivi di canale (sez. 03/06), oggi assenti come baseline numerica</w:t>
            </w:r>
          </w:p>
        </w:tc>
      </w:tr>
      <w:tr>
        <w:tc>
          <w:tcPr>
            <w:tcW w:type="dxa" w:w="2880"/>
            <w:shd w:val="clear" w:color="auto" w:fill="EEF2F1"/>
          </w:tcPr>
          <w:p>
            <w:r>
              <w:rPr>
                <w:sz w:val="19"/>
              </w:rPr>
              <w:t>Budget marketing reale/ricavo camere</w:t>
            </w:r>
          </w:p>
        </w:tc>
        <w:tc>
          <w:tcPr>
            <w:tcW w:type="dxa" w:w="2880"/>
            <w:shd w:val="clear" w:color="auto" w:fill="EEF2F1"/>
          </w:tcPr>
          <w:p>
            <w:r>
              <w:rPr>
                <w:sz w:val="19"/>
              </w:rPr>
              <w:t>Dato cliente mancante</w:t>
            </w:r>
          </w:p>
        </w:tc>
        <w:tc>
          <w:tcPr>
            <w:tcW w:type="dxa" w:w="2880"/>
            <w:shd w:val="clear" w:color="auto" w:fill="EEF2F1"/>
          </w:tcPr>
          <w:p>
            <w:r>
              <w:rPr>
                <w:sz w:val="19"/>
              </w:rPr>
              <w:t>Necessario per trasformare la ripartizione % di budget (sez. 07) in importo; l'importo resta comunque oggetto di proposta commerciale separata</w:t>
            </w:r>
          </w:p>
        </w:tc>
      </w:tr>
      <w:tr>
        <w:tc>
          <w:tcPr>
            <w:tcW w:type="dxa" w:w="2880"/>
          </w:tcPr>
          <w:p>
            <w:r>
              <w:rPr>
                <w:sz w:val="19"/>
              </w:rPr>
              <w:t>Occupazione/ADR/RevPAR storici</w:t>
            </w:r>
          </w:p>
        </w:tc>
        <w:tc>
          <w:tcPr>
            <w:tcW w:type="dxa" w:w="2880"/>
          </w:tcPr>
          <w:p>
            <w:r>
              <w:rPr>
                <w:sz w:val="19"/>
              </w:rPr>
              <w:t>Dato cliente mancante (revenue management, fuori perimetro del piano)</w:t>
            </w:r>
          </w:p>
        </w:tc>
        <w:tc>
          <w:tcPr>
            <w:tcW w:type="dxa" w:w="2880"/>
          </w:tcPr>
          <w:p>
            <w:r>
              <w:rPr>
                <w:sz w:val="19"/>
              </w:rPr>
              <w:t>Solo come contesto per leggere l'efficacia delle azioni di marketing; nessuna decisione tariffaria è trattata in questo piano</w:t>
            </w:r>
          </w:p>
        </w:tc>
      </w:tr>
      <w:tr>
        <w:tc>
          <w:tcPr>
            <w:tcW w:type="dxa" w:w="2880"/>
            <w:shd w:val="clear" w:color="auto" w:fill="EEF2F1"/>
          </w:tcPr>
          <w:p>
            <w:r>
              <w:rPr>
                <w:sz w:val="19"/>
              </w:rPr>
              <w:t>Calendario eventi locali aggiornato</w:t>
            </w:r>
          </w:p>
        </w:tc>
        <w:tc>
          <w:tcPr>
            <w:tcW w:type="dxa" w:w="2880"/>
            <w:shd w:val="clear" w:color="auto" w:fill="EEF2F1"/>
          </w:tcPr>
          <w:p>
            <w:r>
              <w:rPr>
                <w:sz w:val="19"/>
              </w:rPr>
              <w:t>Dato da acquisire (struttura/fonti turistiche locali)</w:t>
            </w:r>
          </w:p>
        </w:tc>
        <w:tc>
          <w:tcPr>
            <w:tcW w:type="dxa" w:w="2880"/>
            <w:shd w:val="clear" w:color="auto" w:fill="EEF2F1"/>
          </w:tcPr>
          <w:p>
            <w:r>
              <w:rPr>
                <w:sz w:val="19"/>
              </w:rPr>
              <w:t>Affina le finestre di campagna a ridosso di eventi stagionali già richiamate in roadmap (sez. 05)</w:t>
            </w:r>
          </w:p>
        </w:tc>
      </w:tr>
      <w:tr>
        <w:tc>
          <w:tcPr>
            <w:tcW w:type="dxa" w:w="2880"/>
          </w:tcPr>
          <w:p>
            <w:r>
              <w:rPr>
                <w:sz w:val="19"/>
              </w:rPr>
              <w:t>Accessi GA4 / Search Console / Google Business Profile / booking engine / PMS</w:t>
            </w:r>
          </w:p>
        </w:tc>
        <w:tc>
          <w:tcPr>
            <w:tcW w:type="dxa" w:w="2880"/>
          </w:tcPr>
          <w:p>
            <w:r>
              <w:rPr>
                <w:sz w:val="19"/>
              </w:rPr>
              <w:t>Accesso tecnico mancante</w:t>
            </w:r>
          </w:p>
        </w:tc>
        <w:tc>
          <w:tcPr>
            <w:tcW w:type="dxa" w:w="2880"/>
          </w:tcPr>
          <w:p>
            <w:r>
              <w:rPr>
                <w:sz w:val="19"/>
              </w:rPr>
              <w:t>Necessari per misurare i KPI di visibilità e conversione definiti in sez. 06</w:t>
            </w:r>
          </w:p>
        </w:tc>
      </w:tr>
      <w:tr>
        <w:tc>
          <w:tcPr>
            <w:tcW w:type="dxa" w:w="2880"/>
            <w:shd w:val="clear" w:color="auto" w:fill="EEF2F1"/>
          </w:tcPr>
          <w:p>
            <w:r>
              <w:rPr>
                <w:sz w:val="19"/>
              </w:rPr>
              <w:t>Audit AEO completo su tutti gli assistenti AI previsti</w:t>
            </w:r>
          </w:p>
        </w:tc>
        <w:tc>
          <w:tcPr>
            <w:tcW w:type="dxa" w:w="2880"/>
            <w:shd w:val="clear" w:color="auto" w:fill="EEF2F1"/>
          </w:tcPr>
          <w:p>
            <w:r>
              <w:rPr>
                <w:sz w:val="19"/>
              </w:rPr>
              <w:t>Rilevazione da ripetere (errore tecnico su due strumenti su tre)</w:t>
            </w:r>
          </w:p>
        </w:tc>
        <w:tc>
          <w:tcPr>
            <w:tcW w:type="dxa" w:w="2880"/>
            <w:shd w:val="clear" w:color="auto" w:fill="EEF2F1"/>
          </w:tcPr>
          <w:p>
            <w:r>
              <w:rPr>
                <w:sz w:val="19"/>
              </w:rPr>
              <w:t>Conferma o corregge l'urgenza del gap di visibilità conversazionale citato in sez. 02/03</w:t>
            </w:r>
          </w:p>
        </w:tc>
      </w:tr>
      <w:tr>
        <w:tc>
          <w:tcPr>
            <w:tcW w:type="dxa" w:w="2880"/>
          </w:tcPr>
          <w:p>
            <w:r>
              <w:rPr>
                <w:sz w:val="19"/>
              </w:rPr>
              <w:t>Benchmark di acquisizione (differenziale diretto/OTA, ritorno indicativo su campagne brand/metasearch)</w:t>
            </w:r>
          </w:p>
        </w:tc>
        <w:tc>
          <w:tcPr>
            <w:tcW w:type="dxa" w:w="2880"/>
          </w:tcPr>
          <w:p>
            <w:r>
              <w:rPr>
                <w:sz w:val="19"/>
              </w:rPr>
              <w:t>Benchmark di settore, da validare col dato cliente</w:t>
            </w:r>
          </w:p>
        </w:tc>
        <w:tc>
          <w:tcPr>
            <w:tcW w:type="dxa" w:w="2880"/>
          </w:tcPr>
          <w:p>
            <w:r>
              <w:rPr>
                <w:sz w:val="19"/>
              </w:rPr>
              <w:t>Usato come riferimento orientativo nelle sezioni di canale e budget, non come target certo della struttura</w:t>
            </w:r>
          </w:p>
        </w:tc>
      </w:tr>
      <w:tr>
        <w:tc>
          <w:tcPr>
            <w:tcW w:type="dxa" w:w="2880"/>
            <w:shd w:val="clear" w:color="auto" w:fill="EEF2F1"/>
          </w:tcPr>
          <w:p>
            <w:r>
              <w:rPr>
                <w:sz w:val="19"/>
              </w:rPr>
              <w:t>Ripartizione % di budget per canale/attività</w:t>
            </w:r>
          </w:p>
        </w:tc>
        <w:tc>
          <w:tcPr>
            <w:tcW w:type="dxa" w:w="2880"/>
            <w:shd w:val="clear" w:color="auto" w:fill="EEF2F1"/>
          </w:tcPr>
          <w:p>
            <w:r>
              <w:rPr>
                <w:sz w:val="19"/>
              </w:rPr>
              <w:t>Struttura di allocazione proposta dall'agenzia</w:t>
            </w:r>
          </w:p>
        </w:tc>
        <w:tc>
          <w:tcPr>
            <w:tcW w:type="dxa" w:w="2880"/>
            <w:shd w:val="clear" w:color="auto" w:fill="EEF2F1"/>
          </w:tcPr>
          <w:p>
            <w:r>
              <w:rPr>
                <w:sz w:val="19"/>
              </w:rPr>
              <w:t>Valida indipendentemente dall'importo assoluto; la cifra in euro è oggetto di proposta commerciale separata</w:t>
            </w:r>
          </w:p>
        </w:tc>
      </w:tr>
    </w:tbl>
    <w:p>
      <w:pPr>
        <w:spacing w:after="160"/>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