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pPr>
    </w:p>
    <w:p>
      <w:pPr>
        <w:shd w:val="clear" w:color="auto" w:fill="2F5D62"/>
        <w:spacing w:before="200" w:after="200"/>
        <w:jc w:val="center"/>
      </w:pPr>
      <w:r>
        <w:rPr>
          <w:b/>
          <w:color w:val="FFFFFF"/>
          <w:sz w:val="30"/>
        </w:rPr>
        <w:t>PIANO STRATEGICO DI MARKETING</w:t>
      </w:r>
    </w:p>
    <w:p>
      <w:pPr>
        <w:spacing w:before="480"/>
        <w:jc w:val="center"/>
      </w:pPr>
      <w:r>
        <w:rPr>
          <w:b/>
          <w:color w:val="1A1A2E"/>
          <w:sz w:val="60"/>
        </w:rPr>
        <w:t>HOTEL CAVALLI</w:t>
      </w:r>
    </w:p>
    <w:p>
      <w:pPr>
        <w:jc w:val="center"/>
      </w:pPr>
      <w:r>
        <w:rPr>
          <w:color w:val="6B7280"/>
          <w:sz w:val="26"/>
        </w:rPr>
        <w:t>Cattolica  ·  3 stelle</w:t>
      </w:r>
    </w:p>
    <w:p>
      <w:pPr>
        <w:spacing w:before="360"/>
        <w:pBdr>
          <w:bottom w:val="single" w:sz="12" w:space="6" w:color="2F5D62"/>
        </w:pBdr>
      </w:pPr>
    </w:p>
    <w:p>
      <w:pPr>
        <w:spacing w:before="160"/>
        <w:jc w:val="center"/>
      </w:pPr>
      <w:r>
        <w:rPr>
          <w:color w:val="6B7280"/>
          <w:sz w:val="18"/>
        </w:rPr>
        <w:t>Documento operativo · 06/10/2026 09:55 · Uso interno</w:t>
        <w:br/>
        <w:t>A cura di Agenzia · su base di analisi diagnostica</w:t>
        <w:br/>
        <w:t>Proposta economica: allegato separato a cura di Agenzia</w:t>
      </w:r>
    </w:p>
    <w:p>
      <w:r>
        <w:br w:type="page"/>
      </w:r>
    </w:p>
    <w:p>
      <w:pPr>
        <w:pBdr>
          <w:bottom w:val="single" w:sz="14" w:space="6" w:color="2F5D62"/>
        </w:pBdr>
      </w:pPr>
      <w:r>
        <w:rPr>
          <w:b/>
          <w:color w:val="1A1A2E"/>
          <w:sz w:val="36"/>
        </w:rPr>
        <w:t>Indice del Piano</w:t>
      </w:r>
    </w:p>
    <w:p>
      <w:r>
        <w:rPr>
          <w:color w:val="6B7280"/>
        </w:rPr>
        <w:t>Documento strategico di vertice: trasforma l'analisi diagnostica competitiva e reputazionale in un piano operativo di marketing. Per ogni area: sintesi strategica, obiettivi misurabili, azioni (Evidenza → Implicazione → Azione) e KPI.</w:t>
      </w:r>
    </w:p>
    <w:p>
      <w:pPr>
        <w:pStyle w:val="ListNumber"/>
      </w:pPr>
      <w:r>
        <w:t>01 — Executive summary &amp; posizionamento</w:t>
      </w:r>
    </w:p>
    <w:p>
      <w:pPr>
        <w:pStyle w:val="ListNumber"/>
      </w:pPr>
      <w:r>
        <w:t>02 — Segmenti prioritari &amp; messaggi</w:t>
      </w:r>
    </w:p>
    <w:p>
      <w:pPr>
        <w:pStyle w:val="ListNumber"/>
      </w:pPr>
      <w:r>
        <w:t>03 — Strategia di canale (core)</w:t>
      </w:r>
    </w:p>
    <w:p>
      <w:pPr>
        <w:pStyle w:val="ListNumber"/>
      </w:pPr>
      <w:r>
        <w:t>04 — Distribuzione &amp; mercati</w:t>
      </w:r>
    </w:p>
    <w:p>
      <w:pPr>
        <w:pStyle w:val="ListNumber"/>
      </w:pPr>
      <w:r>
        <w:t>05 — Roadmap 12 mesi</w:t>
      </w:r>
    </w:p>
    <w:p>
      <w:pPr>
        <w:pStyle w:val="ListNumber"/>
      </w:pPr>
      <w:r>
        <w:t>06 — Misurazione &amp; governance</w:t>
      </w:r>
    </w:p>
    <w:p>
      <w:pPr>
        <w:pStyle w:val="ListNumber"/>
      </w:pPr>
      <w:r>
        <w:t>07 — Budget (ripartizione %)</w:t>
      </w:r>
    </w:p>
    <w:p>
      <w:pPr>
        <w:pStyle w:val="ListNumber"/>
      </w:pPr>
      <w:r>
        <w:t>08 — Assunzioni &amp; input mancanti</w:t>
      </w:r>
    </w:p>
    <w:p>
      <w:r>
        <w:br w:type="page"/>
      </w:r>
    </w:p>
    <w:p>
      <w:pPr>
        <w:spacing w:after="0"/>
      </w:pPr>
      <w:r>
        <w:rPr>
          <w:b/>
          <w:color w:val="2F5D62"/>
          <w:sz w:val="18"/>
        </w:rPr>
        <w:t>SEZIONE 01</w:t>
      </w:r>
    </w:p>
    <w:p>
      <w:pPr>
        <w:spacing w:after="200"/>
        <w:pBdr>
          <w:bottom w:val="single" w:sz="18" w:space="6" w:color="2F5D62"/>
        </w:pBdr>
      </w:pPr>
      <w:r>
        <w:rPr>
          <w:b/>
          <w:color w:val="1A1A2E"/>
          <w:sz w:val="40"/>
        </w:rPr>
        <w:t>Executive summary &amp; posizionamento</w:t>
      </w:r>
    </w:p>
    <w:p>
      <w:r>
        <w:t>Hotel Cavalli gioca la partita del family hotel balneare di Cattolica, a gestione diretta, in posizione centrale pedonale a un passo dal mare: un posizionamento già coerente tra ciò che il sito dichiara e ciò che la clientela reale conferma, con famiglie e coppie come zoccolo duro e l'accoglienza di Stefano e Barbara come differenziale riconosciuto. Il piano muove su quattro direttrici: portare online la domanda di destinazione oggi del tutto non intercettata, trasformare l'accoglienza familiare in un asset comunicativo esplicito invece che implicito, presidiare con contenuti dedicati il segmento coppia finora scoperto, e usare la stagione chiusa come cantiere per sistemare le frizioni di prenotazione diretta e di comfort camera prima che riaprano le finestre di prenotazione dei mercati esteri e italiano. Non emerge uno scostamento di archetipo: il target dichiarato (famiglie, coppie, appassionati MotoGP) coincide con il mix clienti rilevato, quindi il lavoro è di amplificazione e intercettazione della domanda, non di riposizionamento.</w:t>
      </w:r>
    </w:p>
    <w:p>
      <w:pPr>
        <w:spacing w:before="160" w:after="40"/>
      </w:pPr>
      <w:r>
        <w:rPr>
          <w:b/>
          <w:color w:val="2F5D62"/>
          <w:sz w:val="24"/>
        </w:rPr>
        <w:t>Obiettivi misurabili</w:t>
      </w:r>
    </w:p>
    <w:p>
      <w:pPr>
        <w:pStyle w:val="ListBullet"/>
      </w:pPr>
      <w:r>
        <w:t>Presidiare con contenuti dedicati le query di destinazione a più alto volume oggi non intercettate (v. sez. 06 per il dettaglio KPI)</w:t>
      </w:r>
    </w:p>
    <w:p>
      <w:pPr>
        <w:pStyle w:val="ListBullet"/>
      </w:pPr>
      <w:r>
        <w:t>Pubblicare entro l'inizio della prossima stagione una pagina/offerta dedicata al segmento coppia, oggi priva di qualsiasi contenuto specifico</w:t>
      </w:r>
    </w:p>
    <w:p>
      <w:pPr>
        <w:pStyle w:val="ListBullet"/>
      </w:pPr>
      <w:r>
        <w:t>Attivare un canale di messaggistica diretta (WhatsApp Business o equivalente) con risposta garantita per la validazione pre-prenotazione delle famiglie</w:t>
      </w:r>
    </w:p>
    <w:p>
      <w:pPr>
        <w:pStyle w:val="ListBullet"/>
      </w:pPr>
      <w:r>
        <w:t>Impostare il tracciamento della quota di prenotazione diretta e del booking engine (obiettivo di processo: la baseline oggi non è disponibile)</w:t>
      </w:r>
    </w:p>
    <w:p>
      <w:pPr>
        <w:spacing w:before="160" w:after="40"/>
      </w:pPr>
      <w:r>
        <w:rPr>
          <w:b/>
          <w:color w:val="2F5D62"/>
          <w:sz w:val="24"/>
        </w:rPr>
        <w:t>Azioni</w:t>
      </w:r>
    </w:p>
    <w:p>
      <w:r>
        <w:t>La domanda che cerca la destinazione passa oggi quasi interamente dai portali perché il sito non presidia nessuna delle keyword di destinazione rilevanti, nemmeno quella a marchio geografico più cercata: è una questione di cattura, non di qualità del prodotto. La priorità operativa è dunque costruire o rafforzare le pagine già esistenti (camere, cucina, servizi-bimbo, spiagge, last minute) con contenuto testuale allineato alle formule e ai plus reali della struttura — pensione, formula famiglia, spiaggia convenzionata inclusa — così che il posizionamento già corretto sul prodotto diventi anche trovabile in fase di ricerca.</w:t>
      </w:r>
    </w:p>
    <w:p>
      <w:r>
        <w:t>La gestione diretta di Stefano e Barbara e la colazione fatta in casa sono il vero differenziale percepito dagli ospiti, ma restano affidati al passaparola spontaneo nelle recensioni invece che governati nella comunicazione ufficiale: la struttura rischia di vendere un prodotto generico («family hotel 3 stelle») quando possiede un asset relazionale raro e già validato. L'azione è rendere questo tratto parte sistematica del racconto su sito e canali social — volti, nomi, momenti di cucina e accoglienza — per trasferire in fase di ispirazione quello che oggi emerge solo a stay avvenuto nelle recensioni.</w:t>
      </w:r>
    </w:p>
    <w:p>
      <w:r>
        <w:t>Le coppie rappresentano una quota consistente e molto soddisfatta della clientela, ma il sito non dedica loro alcuna pagina o pacchetto, lasciando questo segmento senza un punto di ingresso nella fase di ispirazione: va colmato con un contenuto specifico (racconto di coppia, leva esperienziale legata a cena a tema o vista mare) che oggi manca del tutto.</w:t>
      </w:r>
    </w:p>
    <w:p>
      <w:r>
        <w:t>Le camere piccole e poco insonorizzate restano l'attrito ricorrente più citato nel segmento che genera più fedeltà: un intervento fisico mirato (materassi, cuscini) va messo in cantiere nella stagione di chiusura, affiancato da una comunicazione trasparente sulle metrature in fase di validazione pre-prenotazione, per gestire l'aspettativa più che promettere un salto di punteggio che, trattandosi di una media cumulata su centinaia di recensioni, richiede tempo per muoversi.</w:t>
      </w:r>
    </w:p>
    <w:p>
      <w:r>
        <w:t>Mancano oggi dati su parity, velocità e frizioni del motore di prenotazione diretto: prima di investire in acquisizione a pagamento verso il sito, va eseguito un audit tecnico del booking engine, perché senza quella base ogni euro speso per portare traffico diretto rischia di infrangersi su un passaggio di conversione che non è stato ancora misurato.</w:t>
      </w:r>
    </w:p>
    <w:p>
      <w:pPr>
        <w:spacing w:before="160" w:after="40"/>
      </w:pPr>
      <w:r>
        <w:rPr>
          <w:b/>
          <w:color w:val="2F5D62"/>
          <w:sz w:val="24"/>
        </w:rPr>
        <w:t>KPI</w:t>
      </w:r>
    </w:p>
    <w:p>
      <w:r>
        <w:t>Il cruscotto di misurazione completo, con target e orizzonti, è riportato in sez. 06; qui si richiama solo la logica: visibilità organica sulla domanda di destinazione, copertura dei segmenti prioritari in fase di ispirazione, efficacia del canale di contatto diretto e solidità tecnica del motore di prenotazione.</w:t>
      </w:r>
    </w:p>
    <w:p>
      <w:pPr>
        <w:spacing w:before="160" w:after="40"/>
      </w:pPr>
      <w:r>
        <w:rPr>
          <w:b/>
          <w:color w:val="2F5D62"/>
          <w:sz w:val="24"/>
        </w:rPr>
        <w:t>Note esecutive</w:t>
      </w:r>
    </w:p>
    <w:p>
      <w:pPr>
        <w:pStyle w:val="ListBullet"/>
      </w:pPr>
      <w:r>
        <w:t>Il posizionamento dichiarato e il mix clienti reale coincidono: lo sforzo è di intercettazione e amplificazione, non di riposizionamento del prodotto</w:t>
      </w:r>
    </w:p>
    <w:p>
      <w:pPr>
        <w:pStyle w:val="ListBullet"/>
      </w:pPr>
      <w:r>
        <w:t>Le priorità di contenuto (destinazione, famiglia, coppia) precedono qualsiasi investimento in acquisizione a pagamento</w:t>
      </w:r>
    </w:p>
    <w:p>
      <w:pPr>
        <w:pStyle w:val="ListBullet"/>
      </w:pPr>
      <w:r>
        <w:t>Gli interventi fisici su camere e l'audit del booking engine vanno collocati nella finestra di chiusura stagionale, non durante l'apertura</w:t>
      </w:r>
    </w:p>
    <w:p>
      <w:r>
        <w:br w:type="page"/>
      </w:r>
    </w:p>
    <w:p>
      <w:pPr>
        <w:spacing w:after="0"/>
      </w:pPr>
      <w:r>
        <w:rPr>
          <w:b/>
          <w:color w:val="2F5D62"/>
          <w:sz w:val="18"/>
        </w:rPr>
        <w:t>SEZIONE 02</w:t>
      </w:r>
    </w:p>
    <w:p>
      <w:pPr>
        <w:spacing w:after="200"/>
        <w:pBdr>
          <w:bottom w:val="single" w:sz="18" w:space="6" w:color="2F5D62"/>
        </w:pBdr>
      </w:pPr>
      <w:r>
        <w:rPr>
          <w:b/>
          <w:color w:val="1A1A2E"/>
          <w:sz w:val="40"/>
        </w:rPr>
        <w:t>Segmenti prioritari &amp; messaggi</w:t>
      </w:r>
    </w:p>
    <w:p>
      <w:pPr>
        <w:spacing w:before="160" w:after="40"/>
      </w:pPr>
      <w:r>
        <w:rPr>
          <w:b/>
          <w:color w:val="2F5D62"/>
          <w:sz w:val="24"/>
        </w:rPr>
        <w:t>Mix di clientela reale (decision record — verità del piano)</w:t>
      </w:r>
    </w:p>
    <w:p>
      <w:r>
        <w:t>Coppie + Famiglie = 57,6% del mix di clientela reale (recensioni Booking): Coppie 22,2% · Famiglie 35,4%.</w:t>
      </w:r>
    </w:p>
    <w:p>
      <w:r>
        <w:t>La clientela reale dell'Hotel Cavalli è già oggi più ricca del solo 'family hotel' raccontato dal sito: tre segmenti misurabili — famiglia, coppia, viaggiatore singolo/MotoGP — compongono la quasi totalità della base, ciascuno con un innesco diverso e, soprattutto, con contenuti e messaggi oggi squilibrati verso il primo. Il lavoro di questa sezione non è descrivere i segmenti ma dare a ciascuno un messaggio operativo, un formato di offerta e un punto di contatto, cominciando da dove il disallineamento è più largo: la coppia, quota ampia e molto soddisfatta, senza una sola pagina dedicata.</w:t>
      </w:r>
    </w:p>
    <w:p>
      <w:pPr>
        <w:spacing w:before="160" w:after="40"/>
      </w:pPr>
      <w:r>
        <w:rPr>
          <w:b/>
          <w:color w:val="2F5D62"/>
          <w:sz w:val="24"/>
        </w:rPr>
        <w:t>Obiettivi misurabili</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Segmento</w:t>
            </w:r>
          </w:p>
        </w:tc>
        <w:tc>
          <w:tcPr>
            <w:tcW w:type="dxa" w:w="4320"/>
            <w:shd w:val="clear" w:color="auto" w:fill="2F5D62"/>
          </w:tcPr>
          <w:p>
            <w:r>
              <w:rPr>
                <w:b/>
                <w:color w:val="FFFFFF"/>
                <w:sz w:val="19"/>
              </w:rPr>
              <w:t>Obiettivo</w:t>
            </w:r>
          </w:p>
        </w:tc>
      </w:tr>
      <w:tr>
        <w:tc>
          <w:tcPr>
            <w:tcW w:type="dxa" w:w="4320"/>
          </w:tcPr>
          <w:p>
            <w:r>
              <w:rPr>
                <w:sz w:val="19"/>
              </w:rPr>
              <w:t>Famiglia con bambini</w:t>
            </w:r>
          </w:p>
        </w:tc>
        <w:tc>
          <w:tcPr>
            <w:tcW w:type="dxa" w:w="4320"/>
          </w:tcPr>
          <w:p>
            <w:r>
              <w:rPr>
                <w:sz w:val="19"/>
              </w:rPr>
              <w:t>Pubblicare entro l'apertura della prossima stagione contenuti rinnovati che usino sistematicamente il lessico di formula (vedi sez. 05 per le scadenze)</w:t>
            </w:r>
          </w:p>
        </w:tc>
      </w:tr>
      <w:tr>
        <w:tc>
          <w:tcPr>
            <w:tcW w:type="dxa" w:w="4320"/>
            <w:shd w:val="clear" w:color="auto" w:fill="EEF2F1"/>
          </w:tcPr>
          <w:p>
            <w:r>
              <w:rPr>
                <w:sz w:val="19"/>
              </w:rPr>
              <w:t>Coppia</w:t>
            </w:r>
          </w:p>
        </w:tc>
        <w:tc>
          <w:tcPr>
            <w:tcW w:type="dxa" w:w="4320"/>
            <w:shd w:val="clear" w:color="auto" w:fill="EEF2F1"/>
          </w:tcPr>
          <w:p>
            <w:r>
              <w:rPr>
                <w:sz w:val="19"/>
              </w:rPr>
              <w:t>Lanciare una pagina/pacchetto dedicato entro l'apertura della prossima stagione (v. sez. 05)</w:t>
            </w:r>
          </w:p>
        </w:tc>
      </w:tr>
      <w:tr>
        <w:tc>
          <w:tcPr>
            <w:tcW w:type="dxa" w:w="4320"/>
          </w:tcPr>
          <w:p>
            <w:r>
              <w:rPr>
                <w:sz w:val="19"/>
              </w:rPr>
              <w:t>Viaggiatore singolo / MotoGP</w:t>
            </w:r>
          </w:p>
        </w:tc>
        <w:tc>
          <w:tcPr>
            <w:tcW w:type="dxa" w:w="4320"/>
          </w:tcPr>
          <w:p>
            <w:r>
              <w:rPr>
                <w:sz w:val="19"/>
              </w:rPr>
              <w:t>Validare con un processo di rilevazione interno la quota reale riconducibile a eventi motoristici vs turismo balneare solitario (obiettivo di processo, baseline non disponibile)</w:t>
            </w:r>
          </w:p>
        </w:tc>
      </w:tr>
    </w:tbl>
    <w:p>
      <w:pPr>
        <w:spacing w:after="160"/>
      </w:pPr>
    </w:p>
    <w:p>
      <w:pPr>
        <w:spacing w:before="160" w:after="40"/>
      </w:pPr>
      <w:r>
        <w:rPr>
          <w:b/>
          <w:color w:val="2F5D62"/>
          <w:sz w:val="24"/>
        </w:rPr>
        <w:t>Azioni</w:t>
      </w:r>
    </w:p>
    <w:p>
      <w:r>
        <w:t>La famiglia resta il nucleo della clientela e il segmento che più genera fedeltà, ma proprio qui il margine di miglioramento non è nell'attrarre di più bensì nel comunicare meglio il prodotto che già esiste. Il messaggio verso questo segmento deve sempre nominare la formula (mezza pensione, pensione completa, all inclusive), il piano famiglia con bambini gratis per fascia d'età, e la spiaggia inclusa con ombrellone e lettini: un annuncio o una pagina che parli di 'vacanza in famiglia' senza questi elementi è percepito come generico e si confonde con quello di qualunque concorrente. La leva del book early va abbinata esplicitamente a questo segmento, perché è quello con il maggior numero di pernottamenti e quindi il maggior beneficio economico dallo spostare la prenotazione in anticipo. Il contatto diretto prima della prenotazione resta un punto debole dichiarato: attivare un canale di messaggistica rapido (WhatsApp Business) promosso nella pagina dedicata ai servizi bimbo è la prima azione da sbloccare, perché è lì che la famiglia cerca rassicurazione sui dettagli pratici prima di decidere.</w:t>
      </w:r>
    </w:p>
    <w:p>
      <w:r>
        <w:t>La coppia pesa una quota consistente della clientela reale e manifesta il sentiment più positivo tra i segmenti misurati, ma non trova sul sito nessuna pagina, nessun pacchetto, nessun messaggio che la riconosca come tale: è il disallineamento più ampio tra clientela reale e contenuti pubblicati. Creare un pacchetto 'fuga di coppia' — camera con vista mare, una cena a tema dedicata, formula flessibile — dà a questo segmento un punto d'ingresso che oggi non esiste, e permette di intercettarlo nella fase in cui sceglie la destinazione invece di scoprirlo solo arrivato in struttura. Il messaggio qui non usa il lessico famiglia: lavora su relax, posizione centrale pedonale e cucina casalinga, leve già forti e già verificate ma mai indirizzate a questo pubblico specifico.</w:t>
      </w:r>
    </w:p>
    <w:p>
      <w:r>
        <w:t>Il viaggiatore singolo è il secondo gruppo per dimensione ma resta un dato di occupazione camera più che una persona consolidata: non sappiamo oggi quanta parte sia MotoGP, lavoro non strutturato o balneare solitario. La pagina già dedicata all'offerta in occasione degli eventi di Misano resta lo strumento corretto per la quota motoristica, quindi non richiede un nuovo intervento di posizionamento; la priorità è invece qualificare meglio la composizione reale di questo segmento prima di costruirci sopra ulteriori messaggi, per evitare di investire su un pubblico che in parte potrebbe essere semplicemente turismo balneare individuale.</w:t>
      </w:r>
    </w:p>
    <w:p>
      <w:pPr>
        <w:spacing w:before="160" w:after="40"/>
      </w:pPr>
      <w:r>
        <w:rPr>
          <w:b/>
          <w:color w:val="2F5D62"/>
          <w:sz w:val="24"/>
        </w:rPr>
        <w:t>KPI</w:t>
      </w:r>
    </w:p>
    <w:p>
      <w:r>
        <w:t>KPI di dettaglio in sez. 06 (Misurazione).</w:t>
      </w:r>
    </w:p>
    <w:p>
      <w:pPr>
        <w:spacing w:before="160" w:after="40"/>
      </w:pPr>
      <w:r>
        <w:rPr>
          <w:b/>
          <w:color w:val="2F5D62"/>
          <w:sz w:val="24"/>
        </w:rPr>
        <w:t>Note esecutive</w:t>
      </w:r>
    </w:p>
    <w:p>
      <w:pPr>
        <w:pStyle w:val="ListBullet"/>
      </w:pPr>
      <w:r>
        <w:t>Le finestre di prenotazione per segmento (famiglia, coppia, eventi motoristici) sono ipotesi di lettura, non dati certi: trattarle come contesto narrativo, non come scadenze operative — quelle restano nella roadmap (sez. 05).</w:t>
      </w:r>
    </w:p>
    <w:p>
      <w:pPr>
        <w:pStyle w:val="ListBullet"/>
      </w:pPr>
      <w:r>
        <w:t>La quota motoristica all'interno del segmento viaggiatore singolo non è scorporabile con i dati attuali: qualunque azione dedicata resta condizionata a una rilevazione più puntuale.</w:t>
      </w:r>
    </w:p>
    <w:p>
      <w:pPr>
        <w:pStyle w:val="ListBullet"/>
      </w:pPr>
      <w:r>
        <w:t>Il messaggio di coppia non deve sovrapporsi o diluire quello famiglia: tenere le due pagine/offerte distinte evita di indebolire il posizionamento già forte sul pubblico principale.</w:t>
      </w:r>
    </w:p>
    <w:p>
      <w:r>
        <w:br w:type="page"/>
      </w:r>
    </w:p>
    <w:p>
      <w:pPr>
        <w:spacing w:after="0"/>
      </w:pPr>
      <w:r>
        <w:rPr>
          <w:b/>
          <w:color w:val="2F5D62"/>
          <w:sz w:val="18"/>
        </w:rPr>
        <w:t>SEZIONE 03</w:t>
      </w:r>
    </w:p>
    <w:p>
      <w:pPr>
        <w:spacing w:after="200"/>
        <w:pBdr>
          <w:bottom w:val="single" w:sz="18" w:space="6" w:color="2F5D62"/>
        </w:pBdr>
      </w:pPr>
      <w:r>
        <w:rPr>
          <w:b/>
          <w:color w:val="1A1A2E"/>
          <w:sz w:val="40"/>
        </w:rPr>
        <w:t>Strategia di canale (core)</w:t>
      </w:r>
    </w:p>
    <w:p>
      <w:pPr>
        <w:spacing w:before="160" w:after="40"/>
      </w:pPr>
      <w:r>
        <w:rPr>
          <w:b/>
          <w:color w:val="2F5D62"/>
          <w:sz w:val="24"/>
        </w:rPr>
        <w:t>Matrice dei canali (decision record — verità del piano)</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Canale</w:t>
            </w:r>
          </w:p>
        </w:tc>
        <w:tc>
          <w:tcPr>
            <w:tcW w:type="dxa" w:w="1728"/>
            <w:shd w:val="clear" w:color="auto" w:fill="2F5D62"/>
          </w:tcPr>
          <w:p>
            <w:r>
              <w:rPr>
                <w:b/>
                <w:color w:val="FFFFFF"/>
                <w:sz w:val="19"/>
              </w:rPr>
              <w:t>Verdetto</w:t>
            </w:r>
          </w:p>
        </w:tc>
        <w:tc>
          <w:tcPr>
            <w:tcW w:type="dxa" w:w="1728"/>
            <w:shd w:val="clear" w:color="auto" w:fill="2F5D62"/>
          </w:tcPr>
          <w:p>
            <w:r>
              <w:rPr>
                <w:b/>
                <w:color w:val="FFFFFF"/>
                <w:sz w:val="19"/>
              </w:rPr>
              <w:t>Priorità</w:t>
            </w:r>
          </w:p>
        </w:tc>
        <w:tc>
          <w:tcPr>
            <w:tcW w:type="dxa" w:w="1728"/>
            <w:shd w:val="clear" w:color="auto" w:fill="2F5D62"/>
          </w:tcPr>
          <w:p>
            <w:r>
              <w:rPr>
                <w:b/>
                <w:color w:val="FFFFFF"/>
                <w:sz w:val="19"/>
              </w:rPr>
              <w:t>Motivo</w:t>
            </w:r>
          </w:p>
        </w:tc>
        <w:tc>
          <w:tcPr>
            <w:tcW w:type="dxa" w:w="1728"/>
            <w:shd w:val="clear" w:color="auto" w:fill="2F5D62"/>
          </w:tcPr>
          <w:p>
            <w:r>
              <w:rPr>
                <w:b/>
                <w:color w:val="FFFFFF"/>
                <w:sz w:val="19"/>
              </w:rPr>
              <w:t>Dipendenze</w:t>
            </w:r>
          </w:p>
        </w:tc>
      </w:tr>
      <w:tr>
        <w:tc>
          <w:tcPr>
            <w:tcW w:type="dxa" w:w="1728"/>
          </w:tcPr>
          <w:p>
            <w:r>
              <w:rPr>
                <w:sz w:val="19"/>
              </w:rPr>
              <w:t>SEO organico</w:t>
            </w:r>
          </w:p>
        </w:tc>
        <w:tc>
          <w:tcPr>
            <w:tcW w:type="dxa" w:w="1728"/>
          </w:tcPr>
          <w:p>
            <w:r>
              <w:rPr>
                <w:sz w:val="19"/>
              </w:rPr>
              <w:t>Attivare (prioritario)</w:t>
            </w:r>
          </w:p>
        </w:tc>
        <w:tc>
          <w:tcPr>
            <w:tcW w:type="dxa" w:w="1728"/>
          </w:tcPr>
          <w:p>
            <w:r>
              <w:rPr>
                <w:sz w:val="19"/>
              </w:rPr>
              <w:t>alta</w:t>
            </w:r>
          </w:p>
        </w:tc>
        <w:tc>
          <w:tcPr>
            <w:tcW w:type="dxa" w:w="1728"/>
          </w:tcPr>
          <w:p>
            <w:r>
              <w:rPr>
                <w:sz w:val="19"/>
              </w:rPr>
              <w:t>40 keyword su 40 in gap (100%); 34030 ricerche/mese di domanda non presidiata. On-site: mancano dati strutturati per i rich result (breadcrumb, faq, review).</w:t>
            </w:r>
          </w:p>
        </w:tc>
        <w:tc>
          <w:tcPr>
            <w:tcW w:type="dxa" w:w="1728"/>
          </w:tcPr>
          <w:p>
            <w:r>
              <w:rPr>
                <w:sz w:val="19"/>
              </w:rPr>
              <w:t>—</w:t>
            </w:r>
          </w:p>
        </w:tc>
      </w:tr>
      <w:tr>
        <w:tc>
          <w:tcPr>
            <w:tcW w:type="dxa" w:w="1728"/>
            <w:shd w:val="clear" w:color="auto" w:fill="EEF2F1"/>
          </w:tcPr>
          <w:p>
            <w:r>
              <w:rPr>
                <w:sz w:val="19"/>
              </w:rPr>
              <w:t>Search advertising (Google Ads)</w:t>
            </w:r>
          </w:p>
        </w:tc>
        <w:tc>
          <w:tcPr>
            <w:tcW w:type="dxa" w:w="1728"/>
            <w:shd w:val="clear" w:color="auto" w:fill="EEF2F1"/>
          </w:tcPr>
          <w:p>
            <w:r>
              <w:rPr>
                <w:sz w:val="19"/>
              </w:rPr>
              <w:t>Attivare (stagionale)</w:t>
            </w:r>
          </w:p>
        </w:tc>
        <w:tc>
          <w:tcPr>
            <w:tcW w:type="dxa" w:w="1728"/>
            <w:shd w:val="clear" w:color="auto" w:fill="EEF2F1"/>
          </w:tcPr>
          <w:p>
            <w:r>
              <w:rPr>
                <w:sz w:val="19"/>
              </w:rPr>
              <w:t>media</w:t>
            </w:r>
          </w:p>
        </w:tc>
        <w:tc>
          <w:tcPr>
            <w:tcW w:type="dxa" w:w="1728"/>
            <w:shd w:val="clear" w:color="auto" w:fill="EEF2F1"/>
          </w:tcPr>
          <w:p>
            <w:r>
              <w:rPr>
                <w:sz w:val="19"/>
              </w:rPr>
              <w:t>70% della domanda misurata è ad alta competizione: la search advertising presidia le query commerciali dove l'organico non arriva in tempo, su doppia finestra (anticipo di mercato + sotto-data).</w:t>
            </w:r>
          </w:p>
        </w:tc>
        <w:tc>
          <w:tcPr>
            <w:tcW w:type="dxa" w:w="1728"/>
            <w:shd w:val="clear" w:color="auto" w:fill="EEF2F1"/>
          </w:tcPr>
          <w:p>
            <w:r>
              <w:rPr>
                <w:sz w:val="19"/>
              </w:rPr>
              <w:t>—</w:t>
            </w:r>
          </w:p>
        </w:tc>
      </w:tr>
      <w:tr>
        <w:tc>
          <w:tcPr>
            <w:tcW w:type="dxa" w:w="1728"/>
          </w:tcPr>
          <w:p>
            <w:r>
              <w:rPr>
                <w:sz w:val="19"/>
              </w:rPr>
              <w:t>Metasearch (Google Hotel Ads, Trivago)</w:t>
            </w:r>
          </w:p>
        </w:tc>
        <w:tc>
          <w:tcPr>
            <w:tcW w:type="dxa" w:w="1728"/>
          </w:tcPr>
          <w:p>
            <w:r>
              <w:rPr>
                <w:sz w:val="19"/>
              </w:rPr>
              <w:t>Non ora</w:t>
            </w:r>
          </w:p>
        </w:tc>
        <w:tc>
          <w:tcPr>
            <w:tcW w:type="dxa" w:w="1728"/>
          </w:tcPr>
          <w:p>
            <w:r>
              <w:rPr>
                <w:sz w:val="19"/>
              </w:rPr>
              <w:t>bassa</w:t>
            </w:r>
          </w:p>
        </w:tc>
        <w:tc>
          <w:tcPr>
            <w:tcW w:type="dxa" w:w="1728"/>
          </w:tcPr>
          <w:p>
            <w:r>
              <w:rPr>
                <w:sz w:val="19"/>
              </w:rPr>
              <w:t>Dipendenza non verificata: booking diretto presidiato + rate parity.</w:t>
            </w:r>
          </w:p>
        </w:tc>
        <w:tc>
          <w:tcPr>
            <w:tcW w:type="dxa" w:w="1728"/>
          </w:tcPr>
          <w:p>
            <w:r>
              <w:rPr>
                <w:sz w:val="19"/>
              </w:rPr>
              <w:t>booking_diretto, rate_parity</w:t>
            </w:r>
          </w:p>
        </w:tc>
      </w:tr>
      <w:tr>
        <w:tc>
          <w:tcPr>
            <w:tcW w:type="dxa" w:w="1728"/>
            <w:shd w:val="clear" w:color="auto" w:fill="EEF2F1"/>
          </w:tcPr>
          <w:p>
            <w:r>
              <w:rPr>
                <w:sz w:val="19"/>
              </w:rPr>
              <w:t>Sito &amp; booking diretto</w:t>
            </w:r>
          </w:p>
        </w:tc>
        <w:tc>
          <w:tcPr>
            <w:tcW w:type="dxa" w:w="1728"/>
            <w:shd w:val="clear" w:color="auto" w:fill="EEF2F1"/>
          </w:tcPr>
          <w:p>
            <w:r>
              <w:rPr>
                <w:sz w:val="19"/>
              </w:rPr>
              <w:t>Attivare</w:t>
            </w:r>
          </w:p>
        </w:tc>
        <w:tc>
          <w:tcPr>
            <w:tcW w:type="dxa" w:w="1728"/>
            <w:shd w:val="clear" w:color="auto" w:fill="EEF2F1"/>
          </w:tcPr>
          <w:p>
            <w:r>
              <w:rPr>
                <w:sz w:val="19"/>
              </w:rPr>
              <w:t>media</w:t>
            </w:r>
          </w:p>
        </w:tc>
        <w:tc>
          <w:tcPr>
            <w:tcW w:type="dxa" w:w="1728"/>
            <w:shd w:val="clear" w:color="auto" w:fill="EEF2F1"/>
          </w:tcPr>
          <w:p>
            <w:r>
              <w:rPr>
                <w:sz w:val="19"/>
              </w:rPr>
              <w:t>Canale diretto: consolidare la conversione e spingere la quota diretta. La pagina offerte esiste (https://www.hotelcavalli.com/it/lastminute): ottimizzarla (schema Offer, CTA, prenota-prima).</w:t>
            </w:r>
          </w:p>
        </w:tc>
        <w:tc>
          <w:tcPr>
            <w:tcW w:type="dxa" w:w="1728"/>
            <w:shd w:val="clear" w:color="auto" w:fill="EEF2F1"/>
          </w:tcPr>
          <w:p>
            <w:r>
              <w:rPr>
                <w:sz w:val="19"/>
              </w:rPr>
              <w:t>—</w:t>
            </w:r>
          </w:p>
        </w:tc>
      </w:tr>
      <w:tr>
        <w:tc>
          <w:tcPr>
            <w:tcW w:type="dxa" w:w="1728"/>
          </w:tcPr>
          <w:p>
            <w:r>
              <w:rPr>
                <w:sz w:val="19"/>
              </w:rPr>
              <w:t>OTA / distribuzione</w:t>
            </w:r>
          </w:p>
        </w:tc>
        <w:tc>
          <w:tcPr>
            <w:tcW w:type="dxa" w:w="1728"/>
          </w:tcPr>
          <w:p>
            <w:r>
              <w:rPr>
                <w:sz w:val="19"/>
              </w:rPr>
              <w:t>Mantenere</w:t>
            </w:r>
          </w:p>
        </w:tc>
        <w:tc>
          <w:tcPr>
            <w:tcW w:type="dxa" w:w="1728"/>
          </w:tcPr>
          <w:p>
            <w:r>
              <w:rPr>
                <w:sz w:val="19"/>
              </w:rPr>
              <w:t>bassa</w:t>
            </w:r>
          </w:p>
        </w:tc>
        <w:tc>
          <w:tcPr>
            <w:tcW w:type="dxa" w:w="1728"/>
          </w:tcPr>
          <w:p>
            <w:r>
              <w:rPr>
                <w:sz w:val="19"/>
              </w:rPr>
              <w:t>Distribuzione OTA da governare per il billboard effect: mantenere presenza e visibilità, spostando progressivamente quota sul canale diretto quando la parità regge.</w:t>
            </w:r>
          </w:p>
        </w:tc>
        <w:tc>
          <w:tcPr>
            <w:tcW w:type="dxa" w:w="1728"/>
          </w:tcPr>
          <w:p>
            <w:r>
              <w:rPr>
                <w:sz w:val="19"/>
              </w:rPr>
              <w:t>booking_diretto, rate_parity</w:t>
            </w:r>
          </w:p>
        </w:tc>
      </w:tr>
      <w:tr>
        <w:tc>
          <w:tcPr>
            <w:tcW w:type="dxa" w:w="1728"/>
            <w:shd w:val="clear" w:color="auto" w:fill="EEF2F1"/>
          </w:tcPr>
          <w:p>
            <w:r>
              <w:rPr>
                <w:sz w:val="19"/>
              </w:rPr>
              <w:t>Social organico</w:t>
            </w:r>
          </w:p>
        </w:tc>
        <w:tc>
          <w:tcPr>
            <w:tcW w:type="dxa" w:w="1728"/>
            <w:shd w:val="clear" w:color="auto" w:fill="EEF2F1"/>
          </w:tcPr>
          <w:p>
            <w:r>
              <w:rPr>
                <w:sz w:val="19"/>
              </w:rPr>
              <w:t>Rafforzare</w:t>
            </w:r>
          </w:p>
        </w:tc>
        <w:tc>
          <w:tcPr>
            <w:tcW w:type="dxa" w:w="1728"/>
            <w:shd w:val="clear" w:color="auto" w:fill="EEF2F1"/>
          </w:tcPr>
          <w:p>
            <w:r>
              <w:rPr>
                <w:sz w:val="19"/>
              </w:rPr>
              <w:t>media</w:t>
            </w:r>
          </w:p>
        </w:tc>
        <w:tc>
          <w:tcPr>
            <w:tcW w:type="dxa" w:w="1728"/>
            <w:shd w:val="clear" w:color="auto" w:fill="EEF2F1"/>
          </w:tcPr>
          <w:p>
            <w:r>
              <w:rPr>
                <w:sz w:val="19"/>
              </w:rPr>
              <w:t>8 asset visuali forti nel profilo (piscina/benessere/fronte mare/terrazza): raccogliere contenuto in stagione e potenziare la presenza organica.</w:t>
            </w:r>
          </w:p>
        </w:tc>
        <w:tc>
          <w:tcPr>
            <w:tcW w:type="dxa" w:w="1728"/>
            <w:shd w:val="clear" w:color="auto" w:fill="EEF2F1"/>
          </w:tcPr>
          <w:p>
            <w:r>
              <w:rPr>
                <w:sz w:val="19"/>
              </w:rPr>
              <w:t>—</w:t>
            </w:r>
          </w:p>
        </w:tc>
      </w:tr>
      <w:tr>
        <w:tc>
          <w:tcPr>
            <w:tcW w:type="dxa" w:w="1728"/>
          </w:tcPr>
          <w:p>
            <w:r>
              <w:rPr>
                <w:sz w:val="19"/>
              </w:rPr>
              <w:t>Social advertising</w:t>
            </w:r>
          </w:p>
        </w:tc>
        <w:tc>
          <w:tcPr>
            <w:tcW w:type="dxa" w:w="1728"/>
          </w:tcPr>
          <w:p>
            <w:r>
              <w:rPr>
                <w:sz w:val="19"/>
              </w:rPr>
              <w:t>Mantenere</w:t>
            </w:r>
          </w:p>
        </w:tc>
        <w:tc>
          <w:tcPr>
            <w:tcW w:type="dxa" w:w="1728"/>
          </w:tcPr>
          <w:p>
            <w:r>
              <w:rPr>
                <w:sz w:val="19"/>
              </w:rPr>
              <w:t>bassa</w:t>
            </w:r>
          </w:p>
        </w:tc>
        <w:tc>
          <w:tcPr>
            <w:tcW w:type="dxa" w:w="1728"/>
          </w:tcPr>
          <w:p>
            <w:r>
              <w:rPr>
                <w:sz w:val="19"/>
              </w:rPr>
              <w:t>Advertising social da attivare su segmenti e finestre stagionali definite: finestra ancorata al picco reale.</w:t>
            </w:r>
          </w:p>
        </w:tc>
        <w:tc>
          <w:tcPr>
            <w:tcW w:type="dxa" w:w="1728"/>
          </w:tcPr>
          <w:p>
            <w:r>
              <w:rPr>
                <w:sz w:val="19"/>
              </w:rPr>
              <w:t>—</w:t>
            </w:r>
          </w:p>
        </w:tc>
      </w:tr>
      <w:tr>
        <w:tc>
          <w:tcPr>
            <w:tcW w:type="dxa" w:w="1728"/>
            <w:shd w:val="clear" w:color="auto" w:fill="EEF2F1"/>
          </w:tcPr>
          <w:p>
            <w:r>
              <w:rPr>
                <w:sz w:val="19"/>
              </w:rPr>
              <w:t>Email &amp; CRM</w:t>
            </w:r>
          </w:p>
        </w:tc>
        <w:tc>
          <w:tcPr>
            <w:tcW w:type="dxa" w:w="1728"/>
            <w:shd w:val="clear" w:color="auto" w:fill="EEF2F1"/>
          </w:tcPr>
          <w:p>
            <w:r>
              <w:rPr>
                <w:sz w:val="19"/>
              </w:rPr>
              <w:t>Attivare</w:t>
            </w:r>
          </w:p>
        </w:tc>
        <w:tc>
          <w:tcPr>
            <w:tcW w:type="dxa" w:w="1728"/>
            <w:shd w:val="clear" w:color="auto" w:fill="EEF2F1"/>
          </w:tcPr>
          <w:p>
            <w:r>
              <w:rPr>
                <w:sz w:val="19"/>
              </w:rPr>
              <w:t>media</w:t>
            </w:r>
          </w:p>
        </w:tc>
        <w:tc>
          <w:tcPr>
            <w:tcW w:type="dxa" w:w="1728"/>
            <w:shd w:val="clear" w:color="auto" w:fill="EEF2F1"/>
          </w:tcPr>
          <w:p>
            <w:r>
              <w:rPr>
                <w:sz w:val="19"/>
              </w:rPr>
              <w:t>Famiglie e coppie sono il 58% della clientela reale: l'economia dei ripetenti giustifica email/CRM come leva di valore del cliente diretto.</w:t>
            </w:r>
          </w:p>
        </w:tc>
        <w:tc>
          <w:tcPr>
            <w:tcW w:type="dxa" w:w="1728"/>
            <w:shd w:val="clear" w:color="auto" w:fill="EEF2F1"/>
          </w:tcPr>
          <w:p>
            <w:r>
              <w:rPr>
                <w:sz w:val="19"/>
              </w:rPr>
              <w:t>—</w:t>
            </w:r>
          </w:p>
        </w:tc>
      </w:tr>
      <w:tr>
        <w:tc>
          <w:tcPr>
            <w:tcW w:type="dxa" w:w="1728"/>
          </w:tcPr>
          <w:p>
            <w:r>
              <w:rPr>
                <w:sz w:val="19"/>
              </w:rPr>
              <w:t>Reputation &amp; gestione recensioni</w:t>
            </w:r>
          </w:p>
        </w:tc>
        <w:tc>
          <w:tcPr>
            <w:tcW w:type="dxa" w:w="1728"/>
          </w:tcPr>
          <w:p>
            <w:r>
              <w:rPr>
                <w:sz w:val="19"/>
              </w:rPr>
              <w:t>Mantenere</w:t>
            </w:r>
          </w:p>
        </w:tc>
        <w:tc>
          <w:tcPr>
            <w:tcW w:type="dxa" w:w="1728"/>
          </w:tcPr>
          <w:p>
            <w:r>
              <w:rPr>
                <w:sz w:val="19"/>
              </w:rPr>
              <w:t>bassa</w:t>
            </w:r>
          </w:p>
        </w:tc>
        <w:tc>
          <w:tcPr>
            <w:tcW w:type="dxa" w:w="1728"/>
          </w:tcPr>
          <w:p>
            <w:r>
              <w:rPr>
                <w:sz w:val="19"/>
              </w:rPr>
              <w:t>Presidio reputazione da mantenere (canale trasversale al journey).</w:t>
            </w:r>
          </w:p>
        </w:tc>
        <w:tc>
          <w:tcPr>
            <w:tcW w:type="dxa" w:w="1728"/>
          </w:tcPr>
          <w:p>
            <w:r>
              <w:rPr>
                <w:sz w:val="19"/>
              </w:rPr>
              <w:t>—</w:t>
            </w:r>
          </w:p>
        </w:tc>
      </w:tr>
      <w:tr>
        <w:tc>
          <w:tcPr>
            <w:tcW w:type="dxa" w:w="1728"/>
            <w:shd w:val="clear" w:color="auto" w:fill="EEF2F1"/>
          </w:tcPr>
          <w:p>
            <w:r>
              <w:rPr>
                <w:sz w:val="19"/>
              </w:rPr>
              <w:t>AEO / assistenti AI</w:t>
            </w:r>
          </w:p>
        </w:tc>
        <w:tc>
          <w:tcPr>
            <w:tcW w:type="dxa" w:w="1728"/>
            <w:shd w:val="clear" w:color="auto" w:fill="EEF2F1"/>
          </w:tcPr>
          <w:p>
            <w:r>
              <w:rPr>
                <w:sz w:val="19"/>
              </w:rPr>
              <w:t>Mantenere</w:t>
            </w:r>
          </w:p>
        </w:tc>
        <w:tc>
          <w:tcPr>
            <w:tcW w:type="dxa" w:w="1728"/>
            <w:shd w:val="clear" w:color="auto" w:fill="EEF2F1"/>
          </w:tcPr>
          <w:p>
            <w:r>
              <w:rPr>
                <w:sz w:val="19"/>
              </w:rPr>
              <w:t>bassa</w:t>
            </w:r>
          </w:p>
        </w:tc>
        <w:tc>
          <w:tcPr>
            <w:tcW w:type="dxa" w:w="1728"/>
            <w:shd w:val="clear" w:color="auto" w:fill="EEF2F1"/>
          </w:tcPr>
          <w:p>
            <w:r>
              <w:rPr>
                <w:sz w:val="19"/>
              </w:rPr>
              <w:t>Audit AEO parziale/provvisorio (copertura provider incompleta): trattare come segnale, non come baseline consolidata.</w:t>
            </w:r>
          </w:p>
        </w:tc>
        <w:tc>
          <w:tcPr>
            <w:tcW w:type="dxa" w:w="1728"/>
            <w:shd w:val="clear" w:color="auto" w:fill="EEF2F1"/>
          </w:tcPr>
          <w:p>
            <w:r>
              <w:rPr>
                <w:sz w:val="19"/>
              </w:rPr>
              <w:t>—</w:t>
            </w:r>
          </w:p>
        </w:tc>
      </w:tr>
      <w:tr>
        <w:tc>
          <w:tcPr>
            <w:tcW w:type="dxa" w:w="1728"/>
          </w:tcPr>
          <w:p>
            <w:r>
              <w:rPr>
                <w:sz w:val="19"/>
              </w:rPr>
              <w:t>Mercato DACH (area di lingua tedesca)</w:t>
            </w:r>
          </w:p>
        </w:tc>
        <w:tc>
          <w:tcPr>
            <w:tcW w:type="dxa" w:w="1728"/>
          </w:tcPr>
          <w:p>
            <w:r>
              <w:rPr>
                <w:sz w:val="19"/>
              </w:rPr>
              <w:t>Mantenere</w:t>
            </w:r>
          </w:p>
        </w:tc>
        <w:tc>
          <w:tcPr>
            <w:tcW w:type="dxa" w:w="1728"/>
          </w:tcPr>
          <w:p>
            <w:r>
              <w:rPr>
                <w:sz w:val="19"/>
              </w:rPr>
              <w:t>bassa</w:t>
            </w:r>
          </w:p>
        </w:tc>
        <w:tc>
          <w:tcPr>
            <w:tcW w:type="dxa" w:w="1728"/>
          </w:tcPr>
          <w:p>
            <w:r>
              <w:rPr>
                <w:sz w:val="19"/>
              </w:rPr>
              <w:t>Presenza DACH marginale (tedeschi 0%).</w:t>
            </w:r>
          </w:p>
        </w:tc>
        <w:tc>
          <w:tcPr>
            <w:tcW w:type="dxa" w:w="1728"/>
          </w:tcPr>
          <w:p>
            <w:r>
              <w:rPr>
                <w:sz w:val="19"/>
              </w:rPr>
              <w:t>—</w:t>
            </w:r>
          </w:p>
        </w:tc>
      </w:tr>
      <w:tr>
        <w:tc>
          <w:tcPr>
            <w:tcW w:type="dxa" w:w="1728"/>
            <w:shd w:val="clear" w:color="auto" w:fill="EEF2F1"/>
          </w:tcPr>
          <w:p>
            <w:r>
              <w:rPr>
                <w:sz w:val="19"/>
              </w:rPr>
              <w:t>Segmento business / MICE</w:t>
            </w:r>
          </w:p>
        </w:tc>
        <w:tc>
          <w:tcPr>
            <w:tcW w:type="dxa" w:w="1728"/>
            <w:shd w:val="clear" w:color="auto" w:fill="EEF2F1"/>
          </w:tcPr>
          <w:p>
            <w:r>
              <w:rPr>
                <w:sz w:val="19"/>
              </w:rPr>
              <w:t>Non ora</w:t>
            </w:r>
          </w:p>
        </w:tc>
        <w:tc>
          <w:tcPr>
            <w:tcW w:type="dxa" w:w="1728"/>
            <w:shd w:val="clear" w:color="auto" w:fill="EEF2F1"/>
          </w:tcPr>
          <w:p>
            <w:r>
              <w:rPr>
                <w:sz w:val="19"/>
              </w:rPr>
              <w:t>bassa</w:t>
            </w:r>
          </w:p>
        </w:tc>
        <w:tc>
          <w:tcPr>
            <w:tcW w:type="dxa" w:w="1728"/>
            <w:shd w:val="clear" w:color="auto" w:fill="EEF2F1"/>
          </w:tcPr>
          <w:p>
            <w:r>
              <w:rPr>
                <w:sz w:val="19"/>
              </w:rPr>
              <w:t>Domanda business marginale (3%) pur con fiere in stagione.</w:t>
            </w:r>
          </w:p>
        </w:tc>
        <w:tc>
          <w:tcPr>
            <w:tcW w:type="dxa" w:w="1728"/>
            <w:shd w:val="clear" w:color="auto" w:fill="EEF2F1"/>
          </w:tcPr>
          <w:p>
            <w:r>
              <w:rPr>
                <w:sz w:val="19"/>
              </w:rPr>
              <w:t>—</w:t>
            </w:r>
          </w:p>
        </w:tc>
      </w:tr>
      <w:tr>
        <w:tc>
          <w:tcPr>
            <w:tcW w:type="dxa" w:w="1728"/>
          </w:tcPr>
          <w:p>
            <w:r>
              <w:rPr>
                <w:sz w:val="19"/>
              </w:rPr>
              <w:t>Local &amp; Google Business Profile</w:t>
            </w:r>
          </w:p>
        </w:tc>
        <w:tc>
          <w:tcPr>
            <w:tcW w:type="dxa" w:w="1728"/>
          </w:tcPr>
          <w:p>
            <w:r>
              <w:rPr>
                <w:sz w:val="19"/>
              </w:rPr>
              <w:t>Mantenere</w:t>
            </w:r>
          </w:p>
        </w:tc>
        <w:tc>
          <w:tcPr>
            <w:tcW w:type="dxa" w:w="1728"/>
          </w:tcPr>
          <w:p>
            <w:r>
              <w:rPr>
                <w:sz w:val="19"/>
              </w:rPr>
              <w:t>bassa</w:t>
            </w:r>
          </w:p>
        </w:tc>
        <w:tc>
          <w:tcPr>
            <w:tcW w:type="dxa" w:w="1728"/>
          </w:tcPr>
          <w:p>
            <w:r>
              <w:rPr>
                <w:sz w:val="19"/>
              </w:rPr>
              <w:t>Dati strutturati di attività locale presenti (con indirizzo): mantenere con gestione recensioni.</w:t>
            </w:r>
          </w:p>
        </w:tc>
        <w:tc>
          <w:tcPr>
            <w:tcW w:type="dxa" w:w="1728"/>
          </w:tcPr>
          <w:p>
            <w:r>
              <w:rPr>
                <w:sz w:val="19"/>
              </w:rPr>
              <w:t>—</w:t>
            </w:r>
          </w:p>
        </w:tc>
      </w:tr>
    </w:tbl>
    <w:p>
      <w:pPr>
        <w:spacing w:after="160"/>
      </w:pPr>
    </w:p>
    <w:p>
      <w:r>
        <w:t>La matrice fissa l'ordine di marcia: il canale diretto e il presidio organico locale sono le due priorità alte da sbloccare subito, perché insistono sullo stesso vuoto — una domanda di destinazione oggi intercettata quasi solo dall'OTA — mentre l'OTA resta centrale e non va sostituito, va affiancato. Il metasearch e il canale business restano fuori perimetro operativo in questa fase, non per scarso potenziale ma perché mancano le condizioni abilitanti (parity verificata, stagionalità compatibile): la sequenza corretta è prima costruire le fondamenta, poi aprire i canali a pagamento che su quelle fondamenta si appoggiano.</w:t>
      </w:r>
    </w:p>
    <w:p>
      <w:pPr>
        <w:spacing w:before="160" w:after="40"/>
      </w:pPr>
      <w:r>
        <w:rPr>
          <w:b/>
          <w:color w:val="2F5D62"/>
          <w:sz w:val="24"/>
        </w:rPr>
        <w:t>Obiettivi misurabili</w:t>
      </w:r>
    </w:p>
    <w:p>
      <w:pPr>
        <w:pStyle w:val="ListBullet"/>
      </w:pPr>
      <w:r>
        <w:t>Presidiare con contenuti dedicati e dati strutturati le pagine di destinazione e famiglia già esistenti sul sito</w:t>
      </w:r>
    </w:p>
    <w:p>
      <w:pPr>
        <w:pStyle w:val="ListBullet"/>
      </w:pPr>
      <w:r>
        <w:t>Attivare un audit tecnico del booking engine diretto (velocità mobile, step, parity) come obiettivo di processo</w:t>
      </w:r>
    </w:p>
    <w:p>
      <w:pPr>
        <w:pStyle w:val="ListBullet"/>
      </w:pPr>
      <w:r>
        <w:t>Impostare una raccolta strutturata dei contatti ospiti (email/telefono) per avviare la base CRM</w:t>
      </w:r>
    </w:p>
    <w:p>
      <w:pPr>
        <w:pStyle w:val="ListBullet"/>
      </w:pPr>
      <w:r>
        <w:t>Verificare lo stato di rate parity sui principali metasearch prima di qualsiasi investimento in Google Hotel Ads</w:t>
      </w:r>
    </w:p>
    <w:p>
      <w:pPr>
        <w:spacing w:before="160" w:after="40"/>
      </w:pPr>
      <w:r>
        <w:rPr>
          <w:b/>
          <w:color w:val="2F5D62"/>
          <w:sz w:val="24"/>
        </w:rPr>
        <w:t>Azioni</w:t>
      </w:r>
    </w:p>
    <w:p>
      <w:r>
        <w:t>Il canale OTA resta oggi il principale punto di contatto con la domanda internazionale e con i segmenti meno fidelizzati: non va ridimensionato, va lasciato lavorare dove porta volume che il diretto non intercetterebbe comunque, mentre l'energia va investita altrove. Il vero vuoto è strutturale: zero parole chiave presidiate su un paniere di quaranta query di destinazione, con termini ad alto volume come quello generico della località e la sua variante balneare completamente assenti dal posizionamento organico. Senza contenuti dedicati e dati strutturati (mancano FAQ, LocalBusiness, review schema) il sito non può competere per questa domanda, quindi la priorità operativa è una produzione di contenuti ancorati al lessico di prodotto — pensione, formula famiglia, spiaggia convenzionata — sulle pagine già esistenti del sito, accompagnata dall'implementazione dei dati strutturati mancanti.</w:t>
      </w:r>
    </w:p>
    <w:p>
      <w:r>
        <w:t>Il canale diretto converte solo se la domanda arriva pronta a prenotare, e oggi manca la verifica di due condizioni abilitanti: la parità tariffaria verso l'OTA e le prestazioni tecniche del motore di prenotazione. Senza questi due dati non è possibile stimare quanta domanda si perde per attrito o per assenza di vantaggio diretto, quindi la prima azione non è una campagna ma un audit tecnico del booking engine (velocità mobile, numero di step, trasparenza costi) e una verifica dello stato di parity sui principali metasearch. Solo risolta questa dipendenza il metasearch (Google Hotel Ads) diventa un canale attivabile: aprirlo prima, con una parity non verificata, rischierebbe di spingere clic su un prezzo diretto percepito come meno conveniente, vanificando l'investimento.</w:t>
      </w:r>
    </w:p>
    <w:p>
      <w:r>
        <w:t>La quota di clientela abituale che emerge spontaneamente dalle recensioni indica una fedeltà oggi sostenuta solo dal passaparola, senza un processo strutturato alle spalle: non sappiamo se esista un sistema di raccolta contatti o di comunicazione post-soggiorno. Il canale CRM va quindi costruito da zero, a partire dalla raccolta sistematica di email e contatti in fase di soggiorno, propedeutica a qualsiasi comunicazione di riapertura stagionale o di vantaggio riservato ai ripetenti: senza questa base dati, il canale più economico a disposizione della struttura resta inutilizzabile.</w:t>
      </w:r>
    </w:p>
    <w:p>
      <w:r>
        <w:t>Il canale social è oggi un'incognita operativa: non ci sono dati sulla copertura reale di Instagram e Facebook né su eventuale materiale generato dagli ospiti, pur in presenza di profili attivi. Poiché il segmento famiglia e il segmento coppia vivono la fase di ispirazione in gran parte su canali visivi, la priorità è un audit della presenza attuale prima di pianificare un piano editoriale: investire in contenuti senza sapere da dove si parte espone al rischio di disperdere budget su un canale già presidiato in modo informale ma mai misurato.</w:t>
      </w:r>
    </w:p>
    <w:p>
      <w:pPr>
        <w:spacing w:before="160" w:after="40"/>
      </w:pPr>
      <w:r>
        <w:rPr>
          <w:b/>
          <w:color w:val="2F5D62"/>
          <w:sz w:val="24"/>
        </w:rPr>
        <w:t>KPI</w:t>
      </w:r>
    </w:p>
    <w:p>
      <w:r>
        <w:t>I KPI numerici di controllo per ciascun canale sono raccolti in sez. 06 (Misurazione); qui si richiama solo il principio di lettura: i canali ad alta priorità (diretto, organico) vanno monitorati su indicatori di processo nelle prime fasi (copertura keyword, esito audit tecnico, contatti raccolti) prima che siano disponibili baseline per target quantitativi.</w:t>
      </w:r>
    </w:p>
    <w:p>
      <w:pPr>
        <w:spacing w:before="160" w:after="40"/>
      </w:pPr>
      <w:r>
        <w:rPr>
          <w:b/>
          <w:color w:val="2F5D62"/>
          <w:sz w:val="24"/>
        </w:rPr>
        <w:t>Note esecutive</w:t>
      </w:r>
    </w:p>
    <w:p>
      <w:pPr>
        <w:pStyle w:val="ListBullet"/>
      </w:pPr>
      <w:r>
        <w:t>Non attivare budget su metasearch finché l'audit di parity non è concluso: è una dipendenza bloccante, non un'opzione.</w:t>
      </w:r>
    </w:p>
    <w:p>
      <w:pPr>
        <w:pStyle w:val="ListBullet"/>
      </w:pPr>
      <w:r>
        <w:t>I contenuti organici vanno costruiti sulle pagine di destinazione e famiglia già esistenti, non in pagine nuove isolate dal resto del sito.</w:t>
      </w:r>
    </w:p>
    <w:p>
      <w:pPr>
        <w:pStyle w:val="ListBullet"/>
      </w:pPr>
      <w:r>
        <w:t>La raccolta contatti per il CRM è un prerequisito anche per le azioni di comunicazione ai clienti abituali previste nella roadmap (sez. 05).</w:t>
      </w:r>
    </w:p>
    <w:p>
      <w:pPr>
        <w:pStyle w:val="ListBullet"/>
      </w:pPr>
      <w:r>
        <w:t>Il canale OTA non richiede azioni correttive in questa fase: il focus va sulle dipendenze dei canali da costruire.</w:t>
      </w:r>
    </w:p>
    <w:p>
      <w:r>
        <w:br w:type="page"/>
      </w:r>
    </w:p>
    <w:p>
      <w:pPr>
        <w:spacing w:after="0"/>
      </w:pPr>
      <w:r>
        <w:rPr>
          <w:b/>
          <w:color w:val="2F5D62"/>
          <w:sz w:val="18"/>
        </w:rPr>
        <w:t>SEZIONE 04</w:t>
      </w:r>
    </w:p>
    <w:p>
      <w:pPr>
        <w:spacing w:after="200"/>
        <w:pBdr>
          <w:bottom w:val="single" w:sz="18" w:space="6" w:color="2F5D62"/>
        </w:pBdr>
      </w:pPr>
      <w:r>
        <w:rPr>
          <w:b/>
          <w:color w:val="1A1A2E"/>
          <w:sz w:val="40"/>
        </w:rPr>
        <w:t>Distribuzione &amp; mercati</w:t>
      </w:r>
    </w:p>
    <w:p>
      <w:r>
        <w:t>Il mix di clientela reale conferma che la domanda estera resta oggi marginale (97,9% delle recensioni Booking in italiano contro 2,1% in inglese): l'Hotel Cavalli vive sostanzialmente di un bacino domestico, e qualunque azione su mercati esteri va trattata come test da verificare, non come leva già acquisita. In questo quadro il portale resta il canale di scoperta e di riempimento su cui la struttura ha oggi il controllo minore, mentre il margine di manovra reale sta nel presidiare meglio la vetrina che l'hotel già occupa sui portali e nel valutare, senza fretta e senza investimenti aggressivi, se vale la pena aprire un test su un mercato di lingua inglese.</w:t>
      </w:r>
    </w:p>
    <w:p>
      <w:pPr>
        <w:spacing w:before="160" w:after="40"/>
      </w:pPr>
      <w:r>
        <w:rPr>
          <w:b/>
          <w:color w:val="2F5D62"/>
          <w:sz w:val="24"/>
        </w:rPr>
        <w:t>Obiettivi misurabili</w:t>
      </w:r>
    </w:p>
    <w:p>
      <w:pPr>
        <w:pStyle w:val="ListBullet"/>
      </w:pPr>
      <w:r>
        <w:t>Aggiornare e uniformare su tutti i portali attivi (Booking, Google) il set fotografico e le descrizioni delle camere family e vista mare, con priorità alle tipologie più prenotate (obiettivo di processo: non è disponibile una baseline sulla qualità attuale della vetrina portale per portale)</w:t>
      </w:r>
    </w:p>
    <w:p>
      <w:pPr>
        <w:pStyle w:val="ListBullet"/>
      </w:pPr>
      <w:r>
        <w:t>Impostare il tracciamento della quota di prenotazioni dirette vs intermediate, oggi non misurata (obiettivo di processo: la baseline non è disponibile, v. sez. 08)</w:t>
      </w:r>
    </w:p>
    <w:p>
      <w:pPr>
        <w:pStyle w:val="ListBullet"/>
      </w:pPr>
      <w:r>
        <w:t>Verificare la fattibilità di un test sul mercato di lingua inglese con una pagina e un'offerta dedicate (obiettivo di processo: il segnale di domanda è ancora troppo esiguo per fissare un target numerico)</w:t>
      </w:r>
    </w:p>
    <w:p>
      <w:pPr>
        <w:spacing w:before="160" w:after="40"/>
      </w:pPr>
      <w:r>
        <w:rPr>
          <w:b/>
          <w:color w:val="2F5D62"/>
          <w:sz w:val="24"/>
        </w:rPr>
        <w:t>Azioni</w:t>
      </w:r>
    </w:p>
    <w:p>
      <w:pPr>
        <w:pStyle w:val="ListBullet"/>
      </w:pPr>
      <w:r>
        <w:t>Il peso quasi totalmente italiano del mix recensioni dice che l'hotel non ha oggi un mercato estero consolidato da difendere o far crescere con urgenza: continuare a trattare l'inglese come lingua di servizio (schede portale, pagina sito, risposta alle recensioni) senza costruire su di esso un piano media autonomo, perché mancano sia la domanda osservata sia connessioni di volo dirette da verificare come segnale di offerta. Prima di aprire qualunque investimento su mercati esteri, la priorità è un test a basso rischio: una landing in inglese agganciata alla pagina MotoGP (il sotto-caso con la motivazione più riconoscibile per un pubblico internazionale, data la vicinanza al circuito di Misano) e un piccolo pilota PPC nella finestra stagionale in cui quell'evento ricade, per leggere se c'è domanda reale prima di scalare qualsiasi budget.</w:t>
      </w:r>
    </w:p>
    <w:p>
      <w:pPr>
        <w:pStyle w:val="ListBullet"/>
      </w:pPr>
      <w:r>
        <w:t>Il portale resta il punto in cui la grande maggioranza dei potenziali ospiti incontra per la prima volta l'Hotel Cavalli, quindi la qualità della scheda (foto, descrizioni, risposta alle recensioni) vale quanto una pagina del sito proprietario: va trattata come un asset di comunicazione a tutti gli effetti, non come un adempimento amministrativo. Da qui l'azione di aggiornare sistematicamente foto e testi delle camere family e vista mare su Booking e Google, allineandoli al lessico di prodotto già sviluppato nel canale diretto (formule, spiaggia convenzionata, animazione), così che il racconto non cambi passando da un canale all'altro.</w:t>
      </w:r>
    </w:p>
    <w:p>
      <w:pPr>
        <w:pStyle w:val="ListBullet"/>
      </w:pPr>
      <w:r>
        <w:t>Senza una misurazione della quota diretta oggi non è possibile decidere quanto spingere il canale proprietario rispetto al portale: la priorità immediata non è un target di spostamento, ma l'attivazione del tracciamento (via booking engine e analisi accessi) per costruire la baseline che manca. Solo con quel dato si potrà valutare, nei cicli successivi, se e quanto convenga investire per spostare quota dal portale al diretto.</w:t>
      </w:r>
    </w:p>
    <w:p>
      <w:pPr>
        <w:pStyle w:val="ListBullet"/>
      </w:pPr>
      <w:r>
        <w:t>L'effetto vetrina dei portali generalisti (visibilità aggiuntiva che però non si traduce in dati misurabili lato hotel) va governato con disciplina piuttosto che inseguito: mantenere la presenza attiva su Booking e Google con contenuti coerenti, senza however destinare budget a tentativi di misurarne il ritorno in modo granulare, perché l'attribuzione resta strutturalmente debole su questo fronte.</w:t>
      </w:r>
    </w:p>
    <w:p>
      <w:pPr>
        <w:spacing w:before="160" w:after="40"/>
      </w:pPr>
      <w:r>
        <w:rPr>
          <w:b/>
          <w:color w:val="2F5D62"/>
          <w:sz w:val="24"/>
        </w:rPr>
        <w:t>KPI</w:t>
      </w:r>
    </w:p>
    <w:p>
      <w:r>
        <w:t>I KPI numerici di canale e mercato (quota diretta, CoA, ROAS del test mercato estero) sono raccolti in sez. 06; qui restano solo i riferimenti di processo sopra elencati.</w:t>
      </w:r>
    </w:p>
    <w:p>
      <w:pPr>
        <w:spacing w:before="160" w:after="40"/>
      </w:pPr>
      <w:r>
        <w:rPr>
          <w:b/>
          <w:color w:val="2F5D62"/>
          <w:sz w:val="24"/>
        </w:rPr>
        <w:t>Note esecutive</w:t>
      </w:r>
    </w:p>
    <w:p>
      <w:pPr>
        <w:pStyle w:val="ListBullet"/>
      </w:pPr>
      <w:r>
        <w:t>Il test sul mercato inglese va ancorato alla sola finestra stagionale dell'evento motoristico che lo giustifica, non esteso a una campagna continuativa: si tratta di un'ipotesi da validare, non di un mercato acquisito.</w:t>
      </w:r>
    </w:p>
    <w:p>
      <w:pPr>
        <w:pStyle w:val="ListBullet"/>
      </w:pPr>
      <w:r>
        <w:t>L'aggiornamento della vetrina portale va programmato nel periodo di chiusura stagionale, in coerenza con il resto del cantiere digitale descritto nel piano, e non durante l'apertura quando non c'è capacità operativa per curarlo.</w:t>
      </w:r>
    </w:p>
    <w:p>
      <w:pPr>
        <w:pStyle w:val="ListBullet"/>
      </w:pPr>
      <w:r>
        <w:t>Qualunque dato di rate parity tra sito diretto e portale è oggi assente: finché non viene raccolto, non va assunto né un vantaggio né uno svantaggio di prezzo del canale diretto nei confronti del portale.</w:t>
      </w:r>
    </w:p>
    <w:p>
      <w:r>
        <w:br w:type="page"/>
      </w:r>
    </w:p>
    <w:p>
      <w:pPr>
        <w:spacing w:after="0"/>
      </w:pPr>
      <w:r>
        <w:rPr>
          <w:b/>
          <w:color w:val="2F5D62"/>
          <w:sz w:val="18"/>
        </w:rPr>
        <w:t>SEZIONE 05</w:t>
      </w:r>
    </w:p>
    <w:p>
      <w:pPr>
        <w:spacing w:after="200"/>
        <w:pBdr>
          <w:bottom w:val="single" w:sz="18" w:space="6" w:color="2F5D62"/>
        </w:pBdr>
      </w:pPr>
      <w:r>
        <w:rPr>
          <w:b/>
          <w:color w:val="1A1A2E"/>
          <w:sz w:val="40"/>
        </w:rPr>
        <w:t>Roadmap 12 mesi</w:t>
      </w:r>
    </w:p>
    <w:p>
      <w:pPr>
        <w:spacing w:before="160" w:after="40"/>
      </w:pPr>
      <w:r>
        <w:rPr>
          <w:b/>
          <w:color w:val="2F5D62"/>
          <w:sz w:val="24"/>
        </w:rPr>
        <w:t>Vincoli operativi della roadmap (decision record)</w:t>
      </w:r>
    </w:p>
    <w:p>
      <w:r>
        <w:t>Archetipo operativo: stagionale puro (~mag-set). Mesi di apertura: mag, giu, lug, ago, set (assunti, da confermare col cliente).</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Vincolo</w:t>
            </w:r>
          </w:p>
        </w:tc>
        <w:tc>
          <w:tcPr>
            <w:tcW w:type="dxa" w:w="2880"/>
            <w:shd w:val="clear" w:color="auto" w:fill="2F5D62"/>
          </w:tcPr>
          <w:p>
            <w:r>
              <w:rPr>
                <w:b/>
                <w:color w:val="FFFFFF"/>
                <w:sz w:val="19"/>
              </w:rPr>
              <w:t>Quando</w:t>
            </w:r>
          </w:p>
        </w:tc>
        <w:tc>
          <w:tcPr>
            <w:tcW w:type="dxa" w:w="2880"/>
            <w:shd w:val="clear" w:color="auto" w:fill="2F5D62"/>
          </w:tcPr>
          <w:p>
            <w:r>
              <w:rPr>
                <w:b/>
                <w:color w:val="FFFFFF"/>
                <w:sz w:val="19"/>
              </w:rPr>
              <w:t>Perché</w:t>
            </w:r>
          </w:p>
        </w:tc>
      </w:tr>
      <w:tr>
        <w:tc>
          <w:tcPr>
            <w:tcW w:type="dxa" w:w="2880"/>
          </w:tcPr>
          <w:p>
            <w:r>
              <w:rPr>
                <w:sz w:val="19"/>
              </w:rPr>
              <w:t>Chiusura listino/pacchetti</w:t>
            </w:r>
          </w:p>
        </w:tc>
        <w:tc>
          <w:tcPr>
            <w:tcW w:type="dxa" w:w="2880"/>
          </w:tcPr>
          <w:p>
            <w:r>
              <w:rPr>
                <w:sz w:val="19"/>
              </w:rPr>
              <w:t>gen</w:t>
            </w:r>
          </w:p>
        </w:tc>
        <w:tc>
          <w:tcPr>
            <w:tcW w:type="dxa" w:w="2880"/>
          </w:tcPr>
          <w:p>
            <w:r>
              <w:rPr>
                <w:sz w:val="19"/>
              </w:rPr>
              <w:t>vendite prenotabili prima dell'apertura delle finestre di mercato</w:t>
            </w:r>
          </w:p>
        </w:tc>
      </w:tr>
      <w:tr>
        <w:tc>
          <w:tcPr>
            <w:tcW w:type="dxa" w:w="2880"/>
            <w:shd w:val="clear" w:color="auto" w:fill="EEF2F1"/>
          </w:tcPr>
          <w:p>
            <w:r>
              <w:rPr>
                <w:sz w:val="19"/>
              </w:rPr>
              <w:t>Apertura vendite per mercato</w:t>
            </w:r>
          </w:p>
        </w:tc>
        <w:tc>
          <w:tcPr>
            <w:tcW w:type="dxa" w:w="2880"/>
            <w:shd w:val="clear" w:color="auto" w:fill="EEF2F1"/>
          </w:tcPr>
          <w:p>
            <w:r>
              <w:rPr>
                <w:sz w:val="19"/>
              </w:rPr>
              <w:t>IT_estate gen</w:t>
            </w:r>
          </w:p>
        </w:tc>
        <w:tc>
          <w:tcPr>
            <w:tcW w:type="dxa" w:w="2880"/>
            <w:shd w:val="clear" w:color="auto" w:fill="EEF2F1"/>
          </w:tcPr>
          <w:p>
            <w:r>
              <w:rPr>
                <w:sz w:val="19"/>
              </w:rPr>
              <w:t>anticipo derivato dalle finestre di prenotazione</w:t>
            </w:r>
          </w:p>
        </w:tc>
      </w:tr>
      <w:tr>
        <w:tc>
          <w:tcPr>
            <w:tcW w:type="dxa" w:w="2880"/>
          </w:tcPr>
          <w:p>
            <w:r>
              <w:rPr>
                <w:sz w:val="19"/>
              </w:rPr>
              <w:t>Cantiere (setup tecnico/contenuti)</w:t>
            </w:r>
          </w:p>
        </w:tc>
        <w:tc>
          <w:tcPr>
            <w:tcW w:type="dxa" w:w="2880"/>
          </w:tcPr>
          <w:p>
            <w:r>
              <w:rPr>
                <w:sz w:val="19"/>
              </w:rPr>
              <w:t>gen, feb, mar, apr, ott, nov, dic</w:t>
            </w:r>
          </w:p>
        </w:tc>
        <w:tc>
          <w:tcPr>
            <w:tcW w:type="dxa" w:w="2880"/>
          </w:tcPr>
          <w:p>
            <w:r>
              <w:rPr>
                <w:sz w:val="19"/>
              </w:rPr>
              <w:t>mai in stagione: sta nei mesi di chiusura</w:t>
            </w:r>
          </w:p>
        </w:tc>
      </w:tr>
      <w:tr>
        <w:tc>
          <w:tcPr>
            <w:tcW w:type="dxa" w:w="2880"/>
            <w:shd w:val="clear" w:color="auto" w:fill="EEF2F1"/>
          </w:tcPr>
          <w:p>
            <w:r>
              <w:rPr>
                <w:sz w:val="19"/>
              </w:rPr>
              <w:t>Raccolta foto/video</w:t>
            </w:r>
          </w:p>
        </w:tc>
        <w:tc>
          <w:tcPr>
            <w:tcW w:type="dxa" w:w="2880"/>
            <w:shd w:val="clear" w:color="auto" w:fill="EEF2F1"/>
          </w:tcPr>
          <w:p>
            <w:r>
              <w:rPr>
                <w:sz w:val="19"/>
              </w:rPr>
              <w:t>mag, giu, lug, ago, set</w:t>
            </w:r>
          </w:p>
        </w:tc>
        <w:tc>
          <w:tcPr>
            <w:tcW w:type="dxa" w:w="2880"/>
            <w:shd w:val="clear" w:color="auto" w:fill="EEF2F1"/>
          </w:tcPr>
          <w:p>
            <w:r>
              <w:rPr>
                <w:sz w:val="19"/>
              </w:rPr>
              <w:t>a hotel aperto: l'hotel chiuso non si fotografa</w:t>
            </w:r>
          </w:p>
        </w:tc>
      </w:tr>
      <w:tr>
        <w:tc>
          <w:tcPr>
            <w:tcW w:type="dxa" w:w="2880"/>
          </w:tcPr>
          <w:p>
            <w:r>
              <w:rPr>
                <w:sz w:val="19"/>
              </w:rPr>
              <w:t>Fiere in stagione (gate business)</w:t>
            </w:r>
          </w:p>
        </w:tc>
        <w:tc>
          <w:tcPr>
            <w:tcW w:type="dxa" w:w="2880"/>
          </w:tcPr>
          <w:p>
            <w:r>
              <w:rPr>
                <w:sz w:val="19"/>
              </w:rPr>
              <w:t>RiminiWellness, World Ducati Week, Meeting di Rimini, Tecna</w:t>
            </w:r>
          </w:p>
        </w:tc>
        <w:tc>
          <w:tcPr>
            <w:tcW w:type="dxa" w:w="2880"/>
          </w:tcPr>
          <w:p>
            <w:r>
              <w:rPr>
                <w:sz w:val="19"/>
              </w:rPr>
              <w:t>eccezioni presidiabili: la domanda fiere fuori apertura resta 'non ora'</w:t>
            </w:r>
          </w:p>
        </w:tc>
      </w:tr>
      <w:tr>
        <w:tc>
          <w:tcPr>
            <w:tcW w:type="dxa" w:w="2880"/>
            <w:shd w:val="clear" w:color="auto" w:fill="EEF2F1"/>
          </w:tcPr>
          <w:p>
            <w:r>
              <w:rPr>
                <w:sz w:val="19"/>
              </w:rPr>
              <w:t>Picchi evento di destinazione</w:t>
            </w:r>
          </w:p>
        </w:tc>
        <w:tc>
          <w:tcPr>
            <w:tcW w:type="dxa" w:w="2880"/>
            <w:shd w:val="clear" w:color="auto" w:fill="EEF2F1"/>
          </w:tcPr>
          <w:p>
            <w:r>
              <w:rPr>
                <w:sz w:val="19"/>
              </w:rPr>
              <w:t>Notte Rosa (2026-06-19)</w:t>
            </w:r>
          </w:p>
        </w:tc>
        <w:tc>
          <w:tcPr>
            <w:tcW w:type="dxa" w:w="2880"/>
            <w:shd w:val="clear" w:color="auto" w:fill="EEF2F1"/>
          </w:tcPr>
          <w:p>
            <w:r>
              <w:rPr>
                <w:sz w:val="19"/>
              </w:rPr>
              <w:t>picchi di domanda weekend da nominare nella roadmap</w:t>
            </w:r>
          </w:p>
        </w:tc>
      </w:tr>
    </w:tbl>
    <w:p>
      <w:pPr>
        <w:spacing w:after="160"/>
      </w:pPr>
    </w:p>
    <w:p>
      <w:pPr>
        <w:spacing w:before="160" w:after="40"/>
      </w:pPr>
      <w:r>
        <w:rPr>
          <w:b/>
          <w:color w:val="2F5D62"/>
          <w:sz w:val="24"/>
        </w:rPr>
        <w:t>Finestre di campagna per segmento (ancorate al picco reale)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Segmento</w:t>
            </w:r>
          </w:p>
        </w:tc>
        <w:tc>
          <w:tcPr>
            <w:tcW w:type="dxa" w:w="2160"/>
            <w:shd w:val="clear" w:color="auto" w:fill="2F5D62"/>
          </w:tcPr>
          <w:p>
            <w:r>
              <w:rPr>
                <w:b/>
                <w:color w:val="FFFFFF"/>
                <w:sz w:val="19"/>
              </w:rPr>
              <w:t>Avvio campagna</w:t>
            </w:r>
          </w:p>
        </w:tc>
        <w:tc>
          <w:tcPr>
            <w:tcW w:type="dxa" w:w="2160"/>
            <w:shd w:val="clear" w:color="auto" w:fill="2F5D62"/>
          </w:tcPr>
          <w:p>
            <w:r>
              <w:rPr>
                <w:b/>
                <w:color w:val="FFFFFF"/>
                <w:sz w:val="19"/>
              </w:rPr>
              <w:t>Mese di picco</w:t>
            </w:r>
          </w:p>
        </w:tc>
        <w:tc>
          <w:tcPr>
            <w:tcW w:type="dxa" w:w="2160"/>
            <w:shd w:val="clear" w:color="auto" w:fill="2F5D62"/>
          </w:tcPr>
          <w:p>
            <w:r>
              <w:rPr>
                <w:b/>
                <w:color w:val="FFFFFF"/>
                <w:sz w:val="19"/>
              </w:rPr>
              <w:t>Anticipo (mesi)</w:t>
            </w:r>
          </w:p>
        </w:tc>
      </w:tr>
      <w:tr>
        <w:tc>
          <w:tcPr>
            <w:tcW w:type="dxa" w:w="2160"/>
          </w:tcPr>
          <w:p>
            <w:r>
              <w:rPr>
                <w:sz w:val="19"/>
              </w:rPr>
              <w:t>Famiglie</w:t>
            </w:r>
          </w:p>
        </w:tc>
        <w:tc>
          <w:tcPr>
            <w:tcW w:type="dxa" w:w="2160"/>
          </w:tcPr>
          <w:p>
            <w:r>
              <w:rPr>
                <w:sz w:val="19"/>
              </w:rPr>
              <w:t>mar</w:t>
            </w:r>
          </w:p>
        </w:tc>
        <w:tc>
          <w:tcPr>
            <w:tcW w:type="dxa" w:w="2160"/>
          </w:tcPr>
          <w:p>
            <w:r>
              <w:rPr>
                <w:sz w:val="19"/>
              </w:rPr>
              <w:t>giu</w:t>
            </w:r>
          </w:p>
        </w:tc>
        <w:tc>
          <w:tcPr>
            <w:tcW w:type="dxa" w:w="2160"/>
          </w:tcPr>
          <w:p>
            <w:r>
              <w:rPr>
                <w:sz w:val="19"/>
              </w:rPr>
              <w:t>3</w:t>
            </w:r>
          </w:p>
        </w:tc>
      </w:tr>
      <w:tr>
        <w:tc>
          <w:tcPr>
            <w:tcW w:type="dxa" w:w="2160"/>
            <w:shd w:val="clear" w:color="auto" w:fill="EEF2F1"/>
          </w:tcPr>
          <w:p>
            <w:r>
              <w:rPr>
                <w:sz w:val="19"/>
              </w:rPr>
              <w:t>Coppie</w:t>
            </w:r>
          </w:p>
        </w:tc>
        <w:tc>
          <w:tcPr>
            <w:tcW w:type="dxa" w:w="2160"/>
            <w:shd w:val="clear" w:color="auto" w:fill="EEF2F1"/>
          </w:tcPr>
          <w:p>
            <w:r>
              <w:rPr>
                <w:sz w:val="19"/>
              </w:rPr>
              <w:t>apr</w:t>
            </w:r>
          </w:p>
        </w:tc>
        <w:tc>
          <w:tcPr>
            <w:tcW w:type="dxa" w:w="2160"/>
            <w:shd w:val="clear" w:color="auto" w:fill="EEF2F1"/>
          </w:tcPr>
          <w:p>
            <w:r>
              <w:rPr>
                <w:sz w:val="19"/>
              </w:rPr>
              <w:t>giu</w:t>
            </w:r>
          </w:p>
        </w:tc>
        <w:tc>
          <w:tcPr>
            <w:tcW w:type="dxa" w:w="2160"/>
            <w:shd w:val="clear" w:color="auto" w:fill="EEF2F1"/>
          </w:tcPr>
          <w:p>
            <w:r>
              <w:rPr>
                <w:sz w:val="19"/>
              </w:rPr>
              <w:t>2</w:t>
            </w:r>
          </w:p>
        </w:tc>
      </w:tr>
      <w:tr>
        <w:tc>
          <w:tcPr>
            <w:tcW w:type="dxa" w:w="2160"/>
          </w:tcPr>
          <w:p>
            <w:r>
              <w:rPr>
                <w:sz w:val="19"/>
              </w:rPr>
              <w:t>DACH</w:t>
            </w:r>
          </w:p>
        </w:tc>
        <w:tc>
          <w:tcPr>
            <w:tcW w:type="dxa" w:w="2160"/>
          </w:tcPr>
          <w:p>
            <w:r>
              <w:rPr>
                <w:sz w:val="19"/>
              </w:rPr>
              <w:t>mar</w:t>
            </w:r>
          </w:p>
        </w:tc>
        <w:tc>
          <w:tcPr>
            <w:tcW w:type="dxa" w:w="2160"/>
          </w:tcPr>
          <w:p>
            <w:r>
              <w:rPr>
                <w:sz w:val="19"/>
              </w:rPr>
              <w:t>giu</w:t>
            </w:r>
          </w:p>
        </w:tc>
        <w:tc>
          <w:tcPr>
            <w:tcW w:type="dxa" w:w="2160"/>
          </w:tcPr>
          <w:p>
            <w:r>
              <w:rPr>
                <w:sz w:val="19"/>
              </w:rPr>
              <w:t>3</w:t>
            </w:r>
          </w:p>
        </w:tc>
      </w:tr>
    </w:tbl>
    <w:p>
      <w:pPr>
        <w:spacing w:after="160"/>
      </w:pPr>
    </w:p>
    <w:p>
      <w:r>
        <w:t>L'Hotel Cavalli è una struttura stagionale balneare: l'apertura corre dalla primavera a settembre, con il resto dell'anno a disposizione come cantiere chiuso. Su questo calendario si innesta il vincolo guida della stagione: chi gestisce la domanda family e coppie deve farsi trovare pronto mesi prima dell'apertura, non all'avvio della stagione, perché il mercato italiano e quello estero iniziano a decidere e prenotare molto prima del check-in. La roadmap che segue mette in sequenza cantiere digitale, apertura vendite per segmento e presidio in stagione, evitando di sovrapporre lavori tecnici al periodo di massima occupazione.</w:t>
      </w:r>
    </w:p>
    <w:p>
      <w:pPr>
        <w:spacing w:before="160" w:after="40"/>
      </w:pPr>
      <w:r>
        <w:rPr>
          <w:b/>
          <w:color w:val="2F5D62"/>
          <w:sz w:val="24"/>
        </w:rPr>
        <w:t>Vincoli operativi della roadmap</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Periodo</w:t>
            </w:r>
          </w:p>
        </w:tc>
        <w:tc>
          <w:tcPr>
            <w:tcW w:type="dxa" w:w="2880"/>
            <w:shd w:val="clear" w:color="auto" w:fill="2F5D62"/>
          </w:tcPr>
          <w:p>
            <w:r>
              <w:rPr>
                <w:b/>
                <w:color w:val="FFFFFF"/>
                <w:sz w:val="19"/>
              </w:rPr>
              <w:t>Vincolo</w:t>
            </w:r>
          </w:p>
        </w:tc>
        <w:tc>
          <w:tcPr>
            <w:tcW w:type="dxa" w:w="2880"/>
            <w:shd w:val="clear" w:color="auto" w:fill="2F5D62"/>
          </w:tcPr>
          <w:p>
            <w:r>
              <w:rPr>
                <w:b/>
                <w:color w:val="FFFFFF"/>
                <w:sz w:val="19"/>
              </w:rPr>
              <w:t>Attività ammesse</w:t>
            </w:r>
          </w:p>
        </w:tc>
      </w:tr>
      <w:tr>
        <w:tc>
          <w:tcPr>
            <w:tcW w:type="dxa" w:w="2880"/>
          </w:tcPr>
          <w:p>
            <w:r>
              <w:rPr>
                <w:sz w:val="19"/>
              </w:rPr>
              <w:t>Chiuso (autunno-inverno)</w:t>
            </w:r>
          </w:p>
        </w:tc>
        <w:tc>
          <w:tcPr>
            <w:tcW w:type="dxa" w:w="2880"/>
          </w:tcPr>
          <w:p>
            <w:r>
              <w:rPr>
                <w:sz w:val="19"/>
              </w:rPr>
              <w:t>Cantiere tecnico e contenuti</w:t>
            </w:r>
          </w:p>
        </w:tc>
        <w:tc>
          <w:tcPr>
            <w:tcW w:type="dxa" w:w="2880"/>
          </w:tcPr>
          <w:p>
            <w:r>
              <w:rPr>
                <w:sz w:val="19"/>
              </w:rPr>
              <w:t>Sito, dati strutturati, pagine segmento, email ai clienti abituali, preparazione listino</w:t>
            </w:r>
          </w:p>
        </w:tc>
      </w:tr>
      <w:tr>
        <w:tc>
          <w:tcPr>
            <w:tcW w:type="dxa" w:w="2880"/>
            <w:shd w:val="clear" w:color="auto" w:fill="EEF2F1"/>
          </w:tcPr>
          <w:p>
            <w:r>
              <w:rPr>
                <w:sz w:val="19"/>
              </w:rPr>
              <w:t>Apertura stagione</w:t>
            </w:r>
          </w:p>
        </w:tc>
        <w:tc>
          <w:tcPr>
            <w:tcW w:type="dxa" w:w="2880"/>
            <w:shd w:val="clear" w:color="auto" w:fill="EEF2F1"/>
          </w:tcPr>
          <w:p>
            <w:r>
              <w:rPr>
                <w:sz w:val="19"/>
              </w:rPr>
              <w:t>Raccolta materiale</w:t>
            </w:r>
          </w:p>
        </w:tc>
        <w:tc>
          <w:tcPr>
            <w:tcW w:type="dxa" w:w="2880"/>
            <w:shd w:val="clear" w:color="auto" w:fill="EEF2F1"/>
          </w:tcPr>
          <w:p>
            <w:r>
              <w:rPr>
                <w:sz w:val="19"/>
              </w:rPr>
              <w:t>Foto/video reali in struttura, UGC, prime recensioni della stagione in corso</w:t>
            </w:r>
          </w:p>
        </w:tc>
      </w:tr>
      <w:tr>
        <w:tc>
          <w:tcPr>
            <w:tcW w:type="dxa" w:w="2880"/>
          </w:tcPr>
          <w:p>
            <w:r>
              <w:rPr>
                <w:sz w:val="19"/>
              </w:rPr>
              <w:t>Stagione piena</w:t>
            </w:r>
          </w:p>
        </w:tc>
        <w:tc>
          <w:tcPr>
            <w:tcW w:type="dxa" w:w="2880"/>
          </w:tcPr>
          <w:p>
            <w:r>
              <w:rPr>
                <w:sz w:val="19"/>
              </w:rPr>
              <w:t>Nessun cantiere</w:t>
            </w:r>
          </w:p>
        </w:tc>
        <w:tc>
          <w:tcPr>
            <w:tcW w:type="dxa" w:w="2880"/>
          </w:tcPr>
          <w:p>
            <w:r>
              <w:rPr>
                <w:sz w:val="19"/>
              </w:rPr>
              <w:t>Presidio reputazione, social 'dal campo', vendita close-in</w:t>
            </w:r>
          </w:p>
        </w:tc>
      </w:tr>
    </w:tbl>
    <w:p>
      <w:pPr>
        <w:spacing w:after="160"/>
      </w:pPr>
    </w:p>
    <w:p>
      <w:pPr>
        <w:spacing w:before="160" w:after="40"/>
      </w:pPr>
      <w:r>
        <w:rPr>
          <w:b/>
          <w:color w:val="2F5D62"/>
          <w:sz w:val="24"/>
        </w:rPr>
        <w:t>Obiettivi misurabili</w:t>
      </w:r>
    </w:p>
    <w:p>
      <w:pPr>
        <w:pStyle w:val="ListBullet"/>
      </w:pPr>
      <w:r>
        <w:t>Chiudere il cantiere sito/contenuti (pagine segmento, dati strutturati, FAQ) prima della riapertura delle vendite per il mercato italiano e per i mercati esteri a lead time più lungo</w:t>
      </w:r>
    </w:p>
    <w:p>
      <w:pPr>
        <w:pStyle w:val="ListBullet"/>
      </w:pPr>
      <w:r>
        <w:t>Pubblicare la newsletter di riapertura ai clienti abituali con largo anticipo sull'apertura della domanda del proprio segmento (v. sez. 06 per il KPI di processo collegato)</w:t>
      </w:r>
    </w:p>
    <w:p>
      <w:pPr>
        <w:pStyle w:val="ListBullet"/>
      </w:pPr>
      <w:r>
        <w:t>Portare online entro l'apertura della stagione la pagina/pacchetto dedicato alla coppia e i contenuti ottimizzati sulle query di destinazione individuate (v. sez. 02 e 03)</w:t>
      </w:r>
    </w:p>
    <w:p>
      <w:pPr>
        <w:pStyle w:val="ListBullet"/>
      </w:pPr>
      <w:r>
        <w:t>Eseguire l'audit tecnico del booking engine diretto prima dell'apertura delle vendite, per arrivare in stagione senza frizioni note (v. sez. 03)</w:t>
      </w:r>
    </w:p>
    <w:p>
      <w:pPr>
        <w:spacing w:before="160" w:after="40"/>
      </w:pPr>
      <w:r>
        <w:rPr>
          <w:b/>
          <w:color w:val="2F5D62"/>
          <w:sz w:val="24"/>
        </w:rPr>
        <w:t>Timeline operativa</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Fase</w:t>
            </w:r>
          </w:p>
        </w:tc>
        <w:tc>
          <w:tcPr>
            <w:tcW w:type="dxa" w:w="2160"/>
            <w:shd w:val="clear" w:color="auto" w:fill="2F5D62"/>
          </w:tcPr>
          <w:p>
            <w:r>
              <w:rPr>
                <w:b/>
                <w:color w:val="FFFFFF"/>
                <w:sz w:val="19"/>
              </w:rPr>
              <w:t>Periodo</w:t>
            </w:r>
          </w:p>
        </w:tc>
        <w:tc>
          <w:tcPr>
            <w:tcW w:type="dxa" w:w="2160"/>
            <w:shd w:val="clear" w:color="auto" w:fill="2F5D62"/>
          </w:tcPr>
          <w:p>
            <w:r>
              <w:rPr>
                <w:b/>
                <w:color w:val="FFFFFF"/>
                <w:sz w:val="19"/>
              </w:rPr>
              <w:t>Attività</w:t>
            </w:r>
          </w:p>
        </w:tc>
        <w:tc>
          <w:tcPr>
            <w:tcW w:type="dxa" w:w="2160"/>
            <w:shd w:val="clear" w:color="auto" w:fill="2F5D62"/>
          </w:tcPr>
          <w:p>
            <w:r>
              <w:rPr>
                <w:b/>
                <w:color w:val="FFFFFF"/>
                <w:sz w:val="19"/>
              </w:rPr>
              <w:t>Owner</w:t>
            </w:r>
          </w:p>
        </w:tc>
      </w:tr>
      <w:tr>
        <w:tc>
          <w:tcPr>
            <w:tcW w:type="dxa" w:w="2160"/>
          </w:tcPr>
          <w:p>
            <w:r>
              <w:rPr>
                <w:sz w:val="19"/>
              </w:rPr>
              <w:t>Setup</w:t>
            </w:r>
          </w:p>
        </w:tc>
        <w:tc>
          <w:tcPr>
            <w:tcW w:type="dxa" w:w="2160"/>
          </w:tcPr>
          <w:p>
            <w:r>
              <w:rPr>
                <w:sz w:val="19"/>
              </w:rPr>
              <w:t>Chiusura stagionale</w:t>
            </w:r>
          </w:p>
        </w:tc>
        <w:tc>
          <w:tcPr>
            <w:tcW w:type="dxa" w:w="2160"/>
          </w:tcPr>
          <w:p>
            <w:r>
              <w:rPr>
                <w:sz w:val="19"/>
              </w:rPr>
              <w:t>Audit e intervento su booking engine diretto; pubblicazione dati strutturati mancanti (FAQ, breadcrumb, localbusiness, review); costruzione pagina/pacchetto coppia; contenuti ottimizzati sulle query di destinazione non presidiate</w:t>
            </w:r>
          </w:p>
        </w:tc>
        <w:tc>
          <w:tcPr>
            <w:tcW w:type="dxa" w:w="2160"/>
          </w:tcPr>
          <w:p>
            <w:r>
              <w:rPr>
                <w:sz w:val="19"/>
              </w:rPr>
              <w:t>Agenzia + struttura</w:t>
            </w:r>
          </w:p>
        </w:tc>
      </w:tr>
      <w:tr>
        <w:tc>
          <w:tcPr>
            <w:tcW w:type="dxa" w:w="2160"/>
            <w:shd w:val="clear" w:color="auto" w:fill="EEF2F1"/>
          </w:tcPr>
          <w:p>
            <w:r>
              <w:rPr>
                <w:sz w:val="19"/>
              </w:rPr>
              <w:t>Setup</w:t>
            </w:r>
          </w:p>
        </w:tc>
        <w:tc>
          <w:tcPr>
            <w:tcW w:type="dxa" w:w="2160"/>
            <w:shd w:val="clear" w:color="auto" w:fill="EEF2F1"/>
          </w:tcPr>
          <w:p>
            <w:r>
              <w:rPr>
                <w:sz w:val="19"/>
              </w:rPr>
              <w:t>Chiusura stagionale</w:t>
            </w:r>
          </w:p>
        </w:tc>
        <w:tc>
          <w:tcPr>
            <w:tcW w:type="dxa" w:w="2160"/>
            <w:shd w:val="clear" w:color="auto" w:fill="EEF2F1"/>
          </w:tcPr>
          <w:p>
            <w:r>
              <w:rPr>
                <w:sz w:val="19"/>
              </w:rPr>
              <w:t>Attivazione canale di messaggistica diretta (telefono/WhatsApp Business) e sua promozione sulla pagina famiglie</w:t>
            </w:r>
          </w:p>
        </w:tc>
        <w:tc>
          <w:tcPr>
            <w:tcW w:type="dxa" w:w="2160"/>
            <w:shd w:val="clear" w:color="auto" w:fill="EEF2F1"/>
          </w:tcPr>
          <w:p>
            <w:r>
              <w:rPr>
                <w:sz w:val="19"/>
              </w:rPr>
              <w:t>Struttura</w:t>
            </w:r>
          </w:p>
        </w:tc>
      </w:tr>
      <w:tr>
        <w:tc>
          <w:tcPr>
            <w:tcW w:type="dxa" w:w="2160"/>
          </w:tcPr>
          <w:p>
            <w:r>
              <w:rPr>
                <w:sz w:val="19"/>
              </w:rPr>
              <w:t>Lancio</w:t>
            </w:r>
          </w:p>
        </w:tc>
        <w:tc>
          <w:tcPr>
            <w:tcW w:type="dxa" w:w="2160"/>
          </w:tcPr>
          <w:p>
            <w:r>
              <w:rPr>
                <w:sz w:val="19"/>
              </w:rPr>
              <w:t>Pre-apertura</w:t>
            </w:r>
          </w:p>
        </w:tc>
        <w:tc>
          <w:tcPr>
            <w:tcW w:type="dxa" w:w="2160"/>
          </w:tcPr>
          <w:p>
            <w:r>
              <w:rPr>
                <w:sz w:val="19"/>
              </w:rPr>
              <w:t>Invio newsletter di riapertura ai clienti abituali con data di apertura e vantaggio riservato; apertura vendite sul mercato italiano e sui mercati esteri secondo i rispettivi lead time</w:t>
            </w:r>
          </w:p>
        </w:tc>
        <w:tc>
          <w:tcPr>
            <w:tcW w:type="dxa" w:w="2160"/>
          </w:tcPr>
          <w:p>
            <w:r>
              <w:rPr>
                <w:sz w:val="19"/>
              </w:rPr>
              <w:t>Struttura + Agenzia</w:t>
            </w:r>
          </w:p>
        </w:tc>
      </w:tr>
      <w:tr>
        <w:tc>
          <w:tcPr>
            <w:tcW w:type="dxa" w:w="2160"/>
            <w:shd w:val="clear" w:color="auto" w:fill="EEF2F1"/>
          </w:tcPr>
          <w:p>
            <w:r>
              <w:rPr>
                <w:sz w:val="19"/>
              </w:rPr>
              <w:t>Lancio</w:t>
            </w:r>
          </w:p>
        </w:tc>
        <w:tc>
          <w:tcPr>
            <w:tcW w:type="dxa" w:w="2160"/>
            <w:shd w:val="clear" w:color="auto" w:fill="EEF2F1"/>
          </w:tcPr>
          <w:p>
            <w:r>
              <w:rPr>
                <w:sz w:val="19"/>
              </w:rPr>
              <w:t>Apertura stagione</w:t>
            </w:r>
          </w:p>
        </w:tc>
        <w:tc>
          <w:tcPr>
            <w:tcW w:type="dxa" w:w="2160"/>
            <w:shd w:val="clear" w:color="auto" w:fill="EEF2F1"/>
          </w:tcPr>
          <w:p>
            <w:r>
              <w:rPr>
                <w:sz w:val="19"/>
              </w:rPr>
              <w:t>Raccolta sistematica di foto/video in struttura per alimentare i contenuti della stagione successiva; avvio presidio social 'dal campo'</w:t>
            </w:r>
          </w:p>
        </w:tc>
        <w:tc>
          <w:tcPr>
            <w:tcW w:type="dxa" w:w="2160"/>
            <w:shd w:val="clear" w:color="auto" w:fill="EEF2F1"/>
          </w:tcPr>
          <w:p>
            <w:r>
              <w:rPr>
                <w:sz w:val="19"/>
              </w:rPr>
              <w:t>Struttura</w:t>
            </w:r>
          </w:p>
        </w:tc>
      </w:tr>
      <w:tr>
        <w:tc>
          <w:tcPr>
            <w:tcW w:type="dxa" w:w="2160"/>
          </w:tcPr>
          <w:p>
            <w:r>
              <w:rPr>
                <w:sz w:val="19"/>
              </w:rPr>
              <w:t>Ottimizzazione</w:t>
            </w:r>
          </w:p>
        </w:tc>
        <w:tc>
          <w:tcPr>
            <w:tcW w:type="dxa" w:w="2160"/>
          </w:tcPr>
          <w:p>
            <w:r>
              <w:rPr>
                <w:sz w:val="19"/>
              </w:rPr>
              <w:t>Stagione piena</w:t>
            </w:r>
          </w:p>
        </w:tc>
        <w:tc>
          <w:tcPr>
            <w:tcW w:type="dxa" w:w="2160"/>
          </w:tcPr>
          <w:p>
            <w:r>
              <w:rPr>
                <w:sz w:val="19"/>
              </w:rPr>
              <w:t>Presidio reputazione e risposta alle recensioni; vendita close-in su finestre a domanda debole (cambi settimana a cavallo di mese); nessun intervento tecnico sul sito</w:t>
            </w:r>
          </w:p>
        </w:tc>
        <w:tc>
          <w:tcPr>
            <w:tcW w:type="dxa" w:w="2160"/>
          </w:tcPr>
          <w:p>
            <w:r>
              <w:rPr>
                <w:sz w:val="19"/>
              </w:rPr>
              <w:t>Struttura</w:t>
            </w:r>
          </w:p>
        </w:tc>
      </w:tr>
      <w:tr>
        <w:tc>
          <w:tcPr>
            <w:tcW w:type="dxa" w:w="2160"/>
            <w:shd w:val="clear" w:color="auto" w:fill="EEF2F1"/>
          </w:tcPr>
          <w:p>
            <w:r>
              <w:rPr>
                <w:sz w:val="19"/>
              </w:rPr>
              <w:t>Ottimizzazione</w:t>
            </w:r>
          </w:p>
        </w:tc>
        <w:tc>
          <w:tcPr>
            <w:tcW w:type="dxa" w:w="2160"/>
            <w:shd w:val="clear" w:color="auto" w:fill="EEF2F1"/>
          </w:tcPr>
          <w:p>
            <w:r>
              <w:rPr>
                <w:sz w:val="19"/>
              </w:rPr>
              <w:t>Chiusura stagione successiva</w:t>
            </w:r>
          </w:p>
        </w:tc>
        <w:tc>
          <w:tcPr>
            <w:tcW w:type="dxa" w:w="2160"/>
            <w:shd w:val="clear" w:color="auto" w:fill="EEF2F1"/>
          </w:tcPr>
          <w:p>
            <w:r>
              <w:rPr>
                <w:sz w:val="19"/>
              </w:rPr>
              <w:t>Rilettura dei risultati (visibilità organica, canale diretto, audit AEO da rieseguire) e ripianificazione del cantiere per l'anno successivo</w:t>
            </w:r>
          </w:p>
        </w:tc>
        <w:tc>
          <w:tcPr>
            <w:tcW w:type="dxa" w:w="2160"/>
            <w:shd w:val="clear" w:color="auto" w:fill="EEF2F1"/>
          </w:tcPr>
          <w:p>
            <w:r>
              <w:rPr>
                <w:sz w:val="19"/>
              </w:rPr>
              <w:t>Agenzia</w:t>
            </w:r>
          </w:p>
        </w:tc>
      </w:tr>
    </w:tbl>
    <w:p>
      <w:pPr>
        <w:spacing w:after="160"/>
      </w:pPr>
    </w:p>
    <w:p>
      <w:pPr>
        <w:spacing w:before="160" w:after="40"/>
      </w:pPr>
      <w:r>
        <w:rPr>
          <w:b/>
          <w:color w:val="2F5D62"/>
          <w:sz w:val="24"/>
        </w:rPr>
        <w:t>Azioni</w:t>
      </w:r>
    </w:p>
    <w:p>
      <w:r>
        <w:t>Il cantiere tecnico-contenutistico — pagine mancanti, dati strutturati, pacchetto coppia, interventi su booking engine — va concluso mentre la struttura è chiusa: aprirlo a stagione in corso significherebbe sottrarre tempo alla gestione diretta che oggi è il primo asset reputazionale della struttura, oltre ad arrivare in ritardo sull'apertura della domanda. La sequenza corretta è quindi cantiere chiuso → listino e pagine pronti → apertura vendite, mai il contrario.</w:t>
      </w:r>
    </w:p>
    <w:p>
      <w:r>
        <w:t>I clienti abituali prenotano su un segnale semplice: sapere che la struttura riapre. La newsletter di riapertura, con data visibile e un vantaggio riservato a chi ha già soggiornato, deve precedere l'apertura della domanda di stagione: è la leva a costo più basso e il primo canale da attivare, prima di qualunque investimento in acquisizione a pagamento.</w:t>
      </w:r>
    </w:p>
    <w:p>
      <w:r>
        <w:t>La domanda di destinazione non presidiata oggi (v. sez. 03) non si recupera a stagione iniziata: i contenuti e le pagine segmento devono essere online e indicizzabili prima che il mercato cominci a cercare, non quando la struttura è già piena di lavoro operativo.</w:t>
      </w:r>
    </w:p>
    <w:p>
      <w:r>
        <w:t>L'apertura della struttura è anche l'unica finestra utile per raccogliere materiale fotografico e video reale: una struttura chiusa non si può fotografare. Questa raccolta alimenta i contenuti del cantiere dell'anno successivo e va programmata come attività ricorrente di inizio stagione, non lasciata al caso.</w:t>
      </w:r>
    </w:p>
    <w:p>
      <w:r>
        <w:t>A stagione piena il presidio resta leggero e operativo: risposta alle recensioni, racconto social dal campo, vendita mirata sulle finestre più deboli. Nessun intervento tecnico va programmato in questa fase, per non distogliere risorse dalla gestione dell'ospite, che resta il principale motore reputazionale della struttura.</w:t>
      </w:r>
    </w:p>
    <w:p>
      <w:pPr>
        <w:spacing w:before="160" w:after="40"/>
      </w:pPr>
      <w:r>
        <w:rPr>
          <w:b/>
          <w:color w:val="2F5D62"/>
          <w:sz w:val="24"/>
        </w:rPr>
        <w:t>KPI</w:t>
      </w:r>
    </w:p>
    <w:p>
      <w:r>
        <w:t>I KPI numerici di controllo del piano sono riportati in sez. 06; qui la roadmap ne fissa solo il ritmo di raccolta (chiusura cantiere, invio newsletter, apertura vendite, raccolta materiale, rilettura di fine stagione).</w:t>
      </w:r>
    </w:p>
    <w:p>
      <w:pPr>
        <w:spacing w:before="160" w:after="40"/>
      </w:pPr>
      <w:r>
        <w:rPr>
          <w:b/>
          <w:color w:val="2F5D62"/>
          <w:sz w:val="24"/>
        </w:rPr>
        <w:t>Note esecutive</w:t>
      </w:r>
    </w:p>
    <w:p>
      <w:pPr>
        <w:pStyle w:val="ListBullet"/>
      </w:pPr>
      <w:r>
        <w:t>Il mese esatto di apertura/chiusura della struttura non è stato dichiarato nel materiale disponibile: la roadmap assume l'archetipo stagionale balneare tipico della costa romagnola; va validato con il calendario reale della struttura (v. sez. 08)</w:t>
      </w:r>
    </w:p>
    <w:p>
      <w:pPr>
        <w:pStyle w:val="ListBullet"/>
      </w:pPr>
      <w:r>
        <w:t>L'audit di visibilità sugli assistenti AI è da rieseguire con chiavi tecniche valide prima di poter programmare azioni su quel fronte: finché resta parziale, gli interventi restano limitati al rafforzamento dei prerequisiti (contenuti fattuali, FAQ strutturate, coerenza dei dati di contatto)</w:t>
      </w:r>
    </w:p>
    <w:p>
      <w:pPr>
        <w:pStyle w:val="ListBullet"/>
      </w:pPr>
      <w:r>
        <w:t>L'audit tecnico del booking engine diretto è un prerequisito del cantiere, non un'attività di stagione: va programmato per primo, nei mesi di chiusura</w:t>
      </w:r>
    </w:p>
    <w:p>
      <w:r>
        <w:br w:type="page"/>
      </w:r>
    </w:p>
    <w:p>
      <w:pPr>
        <w:spacing w:after="0"/>
      </w:pPr>
      <w:r>
        <w:rPr>
          <w:b/>
          <w:color w:val="2F5D62"/>
          <w:sz w:val="18"/>
        </w:rPr>
        <w:t>SEZIONE 06</w:t>
      </w:r>
    </w:p>
    <w:p>
      <w:pPr>
        <w:spacing w:after="200"/>
        <w:pBdr>
          <w:bottom w:val="single" w:sz="18" w:space="6" w:color="2F5D62"/>
        </w:pBdr>
      </w:pPr>
      <w:r>
        <w:rPr>
          <w:b/>
          <w:color w:val="1A1A2E"/>
          <w:sz w:val="40"/>
        </w:rPr>
        <w:t>Misurazione &amp; governance</w:t>
      </w:r>
    </w:p>
    <w:p>
      <w:pPr>
        <w:spacing w:before="160" w:after="40"/>
      </w:pPr>
      <w:r>
        <w:rPr>
          <w:b/>
          <w:color w:val="2F5D62"/>
          <w:sz w:val="24"/>
        </w:rPr>
        <w:t>KPI nord (baseline → target o obiettivo di processo)</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w:t>
            </w:r>
          </w:p>
        </w:tc>
        <w:tc>
          <w:tcPr>
            <w:tcW w:type="dxa" w:w="2160"/>
            <w:shd w:val="clear" w:color="auto" w:fill="2F5D62"/>
          </w:tcPr>
          <w:p>
            <w:r>
              <w:rPr>
                <w:b/>
                <w:color w:val="FFFFFF"/>
                <w:sz w:val="19"/>
              </w:rPr>
              <w:t>Obiettivo di processo</w:t>
            </w:r>
          </w:p>
        </w:tc>
      </w:tr>
      <w:tr>
        <w:tc>
          <w:tcPr>
            <w:tcW w:type="dxa" w:w="2160"/>
          </w:tcPr>
          <w:p>
            <w:r>
              <w:rPr>
                <w:sz w:val="19"/>
              </w:rPr>
              <w:t>Volume recensioni (tutte le piattaforme)</w:t>
            </w:r>
          </w:p>
        </w:tc>
        <w:tc>
          <w:tcPr>
            <w:tcW w:type="dxa" w:w="2160"/>
          </w:tcPr>
          <w:p>
            <w:r>
              <w:rPr>
                <w:sz w:val="19"/>
              </w:rPr>
              <w:t>196</w:t>
            </w:r>
          </w:p>
        </w:tc>
        <w:tc>
          <w:tcPr>
            <w:tcW w:type="dxa" w:w="2160"/>
          </w:tcPr>
          <w:p>
            <w:r>
              <w:rPr>
                <w:sz w:val="19"/>
              </w:rPr>
              <w:t>279</w:t>
            </w:r>
          </w:p>
        </w:tc>
        <w:tc>
          <w:tcPr>
            <w:tcW w:type="dxa" w:w="2160"/>
          </w:tcPr>
          <w:p>
            <w:r>
              <w:rPr>
                <w:sz w:val="19"/>
              </w:rPr>
              <w:t>—</w:t>
            </w:r>
          </w:p>
        </w:tc>
      </w:tr>
      <w:tr>
        <w:tc>
          <w:tcPr>
            <w:tcW w:type="dxa" w:w="2160"/>
            <w:shd w:val="clear" w:color="auto" w:fill="EEF2F1"/>
          </w:tcPr>
          <w:p>
            <w:r>
              <w:rPr>
                <w:sz w:val="19"/>
              </w:rPr>
              <w:t>Quota di prenotazione diretta</w:t>
            </w:r>
          </w:p>
        </w:tc>
        <w:tc>
          <w:tcPr>
            <w:tcW w:type="dxa" w:w="2160"/>
            <w:shd w:val="clear" w:color="auto" w:fill="EEF2F1"/>
          </w:tcPr>
          <w:p>
            <w:r>
              <w:rPr>
                <w:sz w:val="19"/>
              </w:rPr>
              <w:t>—</w:t>
            </w:r>
          </w:p>
        </w:tc>
        <w:tc>
          <w:tcPr>
            <w:tcW w:type="dxa" w:w="2160"/>
            <w:shd w:val="clear" w:color="auto" w:fill="EEF2F1"/>
          </w:tcPr>
          <w:p>
            <w:r>
              <w:rPr>
                <w:sz w:val="19"/>
              </w:rPr>
              <w:t>—</w:t>
            </w:r>
          </w:p>
        </w:tc>
        <w:tc>
          <w:tcPr>
            <w:tcW w:type="dxa" w:w="2160"/>
            <w:shd w:val="clear" w:color="auto" w:fill="EEF2F1"/>
          </w:tcPr>
          <w:p>
            <w:r>
              <w:rPr>
                <w:sz w:val="19"/>
              </w:rPr>
              <w:t>Quota diretta reale non tracciata nella diagnosi: misurare la baseline (booking engine/PMS) prima di fissare un obiettivo numerico.</w:t>
            </w:r>
          </w:p>
        </w:tc>
      </w:tr>
      <w:tr>
        <w:tc>
          <w:tcPr>
            <w:tcW w:type="dxa" w:w="2160"/>
          </w:tcPr>
          <w:p>
            <w:r>
              <w:rPr>
                <w:sz w:val="19"/>
              </w:rPr>
              <w:t>Rating aggregato</w:t>
            </w:r>
          </w:p>
        </w:tc>
        <w:tc>
          <w:tcPr>
            <w:tcW w:type="dxa" w:w="2160"/>
          </w:tcPr>
          <w:p>
            <w:r>
              <w:rPr>
                <w:sz w:val="19"/>
              </w:rPr>
              <w:t>4.33</w:t>
            </w:r>
          </w:p>
        </w:tc>
        <w:tc>
          <w:tcPr>
            <w:tcW w:type="dxa" w:w="2160"/>
          </w:tcPr>
          <w:p>
            <w:r>
              <w:rPr>
                <w:sz w:val="19"/>
              </w:rPr>
              <w:t>—</w:t>
            </w:r>
          </w:p>
        </w:tc>
        <w:tc>
          <w:tcPr>
            <w:tcW w:type="dxa" w:w="2160"/>
          </w:tcPr>
          <w:p>
            <w:r>
              <w:rPr>
                <w:sz w:val="19"/>
              </w:rPr>
              <w:t>KPI di score lento (media cumulata su centinaia di recensioni): non calare sotto la baseline, orizzonti lunghi, nessun salto in 2-3 mesi.</w:t>
            </w:r>
          </w:p>
        </w:tc>
      </w:tr>
    </w:tbl>
    <w:p>
      <w:pPr>
        <w:spacing w:after="160"/>
      </w:pPr>
    </w:p>
    <w:p>
      <w:r>
        <w:t>Questa sezione chiude il piano fissando l'unico set di indicatori numerici su cui l'Hotel Cavalli e l'agenzia si misurano nei prossimi dodici mesi: non un cruscotto esteso, ma pochi KPI con una baseline reale o, dove la baseline manca, un obiettivo di processo chiaro con una scadenza. La governance è pensata per un'attività stagionale: ritmo di verifica più fitto in apertura di cantiere e a ridosso della stagione, più leggero a struttura chiusa, con un punto di revisione strategica a fine stagione che rialimenta il piano dell'anno successivo.</w:t>
      </w:r>
    </w:p>
    <w:p>
      <w:pPr>
        <w:spacing w:before="160" w:after="40"/>
      </w:pPr>
      <w:r>
        <w:rPr>
          <w:b/>
          <w:color w:val="2F5D62"/>
          <w:sz w:val="24"/>
        </w:rPr>
        <w:t>Obiettivi misurabili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Obiettivo</w:t>
            </w:r>
          </w:p>
        </w:tc>
        <w:tc>
          <w:tcPr>
            <w:tcW w:type="dxa" w:w="2160"/>
            <w:shd w:val="clear" w:color="auto" w:fill="2F5D62"/>
          </w:tcPr>
          <w:p>
            <w:r>
              <w:rPr>
                <w:b/>
                <w:color w:val="FFFFFF"/>
                <w:sz w:val="19"/>
              </w:rPr>
              <w:t>Periodicità di verifica</w:t>
            </w:r>
          </w:p>
        </w:tc>
      </w:tr>
      <w:tr>
        <w:tc>
          <w:tcPr>
            <w:tcW w:type="dxa" w:w="2160"/>
          </w:tcPr>
          <w:p>
            <w:r>
              <w:rPr>
                <w:sz w:val="19"/>
              </w:rPr>
              <w:t>Rating aggregato multi-piattaforma</w:t>
            </w:r>
          </w:p>
        </w:tc>
        <w:tc>
          <w:tcPr>
            <w:tcW w:type="dxa" w:w="2160"/>
          </w:tcPr>
          <w:p>
            <w:r>
              <w:rPr>
                <w:sz w:val="19"/>
              </w:rPr>
              <w:t>4,33/5</w:t>
            </w:r>
          </w:p>
        </w:tc>
        <w:tc>
          <w:tcPr>
            <w:tcW w:type="dxa" w:w="2160"/>
          </w:tcPr>
          <w:p>
            <w:r>
              <w:rPr>
                <w:sz w:val="19"/>
              </w:rPr>
              <w:t>Tenuta o miglioramento gentile (KPI di score lento, cumulato su centinaia di recensioni: non attendere scatti nel breve periodo)</w:t>
            </w:r>
          </w:p>
        </w:tc>
        <w:tc>
          <w:tcPr>
            <w:tcW w:type="dxa" w:w="2160"/>
          </w:tcPr>
          <w:p>
            <w:r>
              <w:rPr>
                <w:sz w:val="19"/>
              </w:rPr>
              <w:t>Trimestrale</w:t>
            </w:r>
          </w:p>
        </w:tc>
      </w:tr>
      <w:tr>
        <w:tc>
          <w:tcPr>
            <w:tcW w:type="dxa" w:w="2160"/>
            <w:shd w:val="clear" w:color="auto" w:fill="EEF2F1"/>
          </w:tcPr>
          <w:p>
            <w:r>
              <w:rPr>
                <w:sz w:val="19"/>
              </w:rPr>
              <w:t>Keyword di destinazione presidiate (posizionamento organico)</w:t>
            </w:r>
          </w:p>
        </w:tc>
        <w:tc>
          <w:tcPr>
            <w:tcW w:type="dxa" w:w="2160"/>
            <w:shd w:val="clear" w:color="auto" w:fill="EEF2F1"/>
          </w:tcPr>
          <w:p>
            <w:r>
              <w:rPr>
                <w:sz w:val="19"/>
              </w:rPr>
              <w:t>0 su 40 rilevate</w:t>
            </w:r>
          </w:p>
        </w:tc>
        <w:tc>
          <w:tcPr>
            <w:tcW w:type="dxa" w:w="2160"/>
            <w:shd w:val="clear" w:color="auto" w:fill="EEF2F1"/>
          </w:tcPr>
          <w:p>
            <w:r>
              <w:rPr>
                <w:sz w:val="19"/>
              </w:rPr>
              <w:t>Avviare il presidio delle keyword a maggiore volume individuate nel ledger di domanda, con prima verifica di posizionamento a cantiere chiuso</w:t>
            </w:r>
          </w:p>
        </w:tc>
        <w:tc>
          <w:tcPr>
            <w:tcW w:type="dxa" w:w="2160"/>
            <w:shd w:val="clear" w:color="auto" w:fill="EEF2F1"/>
          </w:tcPr>
          <w:p>
            <w:r>
              <w:rPr>
                <w:sz w:val="19"/>
              </w:rPr>
              <w:t>Trimestrale in bassa stagione, mensile in avvicinamento all'apertura</w:t>
            </w:r>
          </w:p>
        </w:tc>
      </w:tr>
      <w:tr>
        <w:tc>
          <w:tcPr>
            <w:tcW w:type="dxa" w:w="2160"/>
          </w:tcPr>
          <w:p>
            <w:r>
              <w:rPr>
                <w:sz w:val="19"/>
              </w:rPr>
              <w:t>Copertura dati strutturati sul sito</w:t>
            </w:r>
          </w:p>
        </w:tc>
        <w:tc>
          <w:tcPr>
            <w:tcW w:type="dxa" w:w="2160"/>
          </w:tcPr>
          <w:p>
            <w:r>
              <w:rPr>
                <w:sz w:val="19"/>
              </w:rPr>
              <w:t>Mancano breadcrumb, FAQ, localbusiness, review, website_search</w:t>
            </w:r>
          </w:p>
        </w:tc>
        <w:tc>
          <w:tcPr>
            <w:tcW w:type="dxa" w:w="2160"/>
          </w:tcPr>
          <w:p>
            <w:r>
              <w:rPr>
                <w:sz w:val="19"/>
              </w:rPr>
              <w:t>Completare gli schema mancanti entro la chiusura del cantiere digitale</w:t>
            </w:r>
          </w:p>
        </w:tc>
        <w:tc>
          <w:tcPr>
            <w:tcW w:type="dxa" w:w="2160"/>
          </w:tcPr>
          <w:p>
            <w:r>
              <w:rPr>
                <w:sz w:val="19"/>
              </w:rPr>
              <w:t>Una tantum a chiusura cantiere, poi verifica annuale</w:t>
            </w:r>
          </w:p>
        </w:tc>
      </w:tr>
      <w:tr>
        <w:tc>
          <w:tcPr>
            <w:tcW w:type="dxa" w:w="2160"/>
            <w:shd w:val="clear" w:color="auto" w:fill="EEF2F1"/>
          </w:tcPr>
          <w:p>
            <w:r>
              <w:rPr>
                <w:sz w:val="19"/>
              </w:rPr>
              <w:t>Quota di prenotazioni dirette</w:t>
            </w:r>
          </w:p>
        </w:tc>
        <w:tc>
          <w:tcPr>
            <w:tcW w:type="dxa" w:w="2160"/>
            <w:shd w:val="clear" w:color="auto" w:fill="EEF2F1"/>
          </w:tcPr>
          <w:p>
            <w:r>
              <w:rPr>
                <w:sz w:val="19"/>
              </w:rPr>
              <w:t>Non disponibile (input mancante)</w:t>
            </w:r>
          </w:p>
        </w:tc>
        <w:tc>
          <w:tcPr>
            <w:tcW w:type="dxa" w:w="2160"/>
            <w:shd w:val="clear" w:color="auto" w:fill="EEF2F1"/>
          </w:tcPr>
          <w:p>
            <w:r>
              <w:rPr>
                <w:sz w:val="19"/>
              </w:rPr>
              <w:t>Obiettivo di processo: impostare il tracciamento della quota diretta vs intermediata</w:t>
            </w:r>
          </w:p>
        </w:tc>
        <w:tc>
          <w:tcPr>
            <w:tcW w:type="dxa" w:w="2160"/>
            <w:shd w:val="clear" w:color="auto" w:fill="EEF2F1"/>
          </w:tcPr>
          <w:p>
            <w:r>
              <w:rPr>
                <w:sz w:val="19"/>
              </w:rPr>
              <w:t>Da attivare in apertura di cantiere, poi mensile</w:t>
            </w:r>
          </w:p>
        </w:tc>
      </w:tr>
      <w:tr>
        <w:tc>
          <w:tcPr>
            <w:tcW w:type="dxa" w:w="2160"/>
          </w:tcPr>
          <w:p>
            <w:r>
              <w:rPr>
                <w:sz w:val="19"/>
              </w:rPr>
              <w:t>Audit tecnico booking engine (velocità mobile, step, parity)</w:t>
            </w:r>
          </w:p>
        </w:tc>
        <w:tc>
          <w:tcPr>
            <w:tcW w:type="dxa" w:w="2160"/>
          </w:tcPr>
          <w:p>
            <w:r>
              <w:rPr>
                <w:sz w:val="19"/>
              </w:rPr>
              <w:t>Non disponibile (input mancante)</w:t>
            </w:r>
          </w:p>
        </w:tc>
        <w:tc>
          <w:tcPr>
            <w:tcW w:type="dxa" w:w="2160"/>
          </w:tcPr>
          <w:p>
            <w:r>
              <w:rPr>
                <w:sz w:val="19"/>
              </w:rPr>
              <w:t>Obiettivo di processo: eseguire l'audit e fissare la baseline</w:t>
            </w:r>
          </w:p>
        </w:tc>
        <w:tc>
          <w:tcPr>
            <w:tcW w:type="dxa" w:w="2160"/>
          </w:tcPr>
          <w:p>
            <w:r>
              <w:rPr>
                <w:sz w:val="19"/>
              </w:rPr>
              <w:t>Una tantum, propedeutica a ogni target sul diretto</w:t>
            </w:r>
          </w:p>
        </w:tc>
      </w:tr>
      <w:tr>
        <w:tc>
          <w:tcPr>
            <w:tcW w:type="dxa" w:w="2160"/>
            <w:shd w:val="clear" w:color="auto" w:fill="EEF2F1"/>
          </w:tcPr>
          <w:p>
            <w:r>
              <w:rPr>
                <w:sz w:val="19"/>
              </w:rPr>
              <w:t>Visibilità sugli assistenti AI (presenza su query di segmento)</w:t>
            </w:r>
          </w:p>
        </w:tc>
        <w:tc>
          <w:tcPr>
            <w:tcW w:type="dxa" w:w="2160"/>
            <w:shd w:val="clear" w:color="auto" w:fill="EEF2F1"/>
          </w:tcPr>
          <w:p>
            <w:r>
              <w:rPr>
                <w:sz w:val="19"/>
              </w:rPr>
              <w:t>Audit parziale: assente su OpenAI, Gemini e Perplexity non misurati</w:t>
            </w:r>
          </w:p>
        </w:tc>
        <w:tc>
          <w:tcPr>
            <w:tcW w:type="dxa" w:w="2160"/>
            <w:shd w:val="clear" w:color="auto" w:fill="EEF2F1"/>
          </w:tcPr>
          <w:p>
            <w:r>
              <w:rPr>
                <w:sz w:val="19"/>
              </w:rPr>
              <w:t>Obiettivo di processo: ripetere l'audit su tutti gli assistenti prioritari e fissare la baseline</w:t>
            </w:r>
          </w:p>
        </w:tc>
        <w:tc>
          <w:tcPr>
            <w:tcW w:type="dxa" w:w="2160"/>
            <w:shd w:val="clear" w:color="auto" w:fill="EEF2F1"/>
          </w:tcPr>
          <w:p>
            <w:r>
              <w:rPr>
                <w:sz w:val="19"/>
              </w:rPr>
              <w:t>Semestrale</w:t>
            </w:r>
          </w:p>
        </w:tc>
      </w:tr>
      <w:tr>
        <w:tc>
          <w:tcPr>
            <w:tcW w:type="dxa" w:w="2160"/>
          </w:tcPr>
          <w:p>
            <w:r>
              <w:rPr>
                <w:sz w:val="19"/>
              </w:rPr>
              <w:t>Lista contatti/email di clienti abituali</w:t>
            </w:r>
          </w:p>
        </w:tc>
        <w:tc>
          <w:tcPr>
            <w:tcW w:type="dxa" w:w="2160"/>
          </w:tcPr>
          <w:p>
            <w:r>
              <w:rPr>
                <w:sz w:val="19"/>
              </w:rPr>
              <w:t>Non disponibile (input mancante)</w:t>
            </w:r>
          </w:p>
        </w:tc>
        <w:tc>
          <w:tcPr>
            <w:tcW w:type="dxa" w:w="2160"/>
          </w:tcPr>
          <w:p>
            <w:r>
              <w:rPr>
                <w:sz w:val="19"/>
              </w:rPr>
              <w:t>Obiettivo di processo: costituire e tracciare la crescita della lista in vista della newsletter di riapertura</w:t>
            </w:r>
          </w:p>
        </w:tc>
        <w:tc>
          <w:tcPr>
            <w:tcW w:type="dxa" w:w="2160"/>
          </w:tcPr>
          <w:p>
            <w:r>
              <w:rPr>
                <w:sz w:val="19"/>
              </w:rPr>
              <w:t>Mensile nel periodo di attivazione pre-stagione</w:t>
            </w:r>
          </w:p>
        </w:tc>
      </w:tr>
    </w:tbl>
    <w:p>
      <w:pPr>
        <w:spacing w:after="160"/>
      </w:pPr>
    </w:p>
    <w:p>
      <w:pPr>
        <w:spacing w:before="160" w:after="40"/>
      </w:pPr>
      <w:r>
        <w:rPr>
          <w:b/>
          <w:color w:val="2F5D62"/>
          <w:sz w:val="24"/>
        </w:rPr>
        <w:t>Azioni</w:t>
      </w:r>
    </w:p>
    <w:p>
      <w:r>
        <w:t>La priorità operativa è colmare i vuoti di misurazione prima di fissare nuovi target: oggi mancano dati su quota diretta, prestazioni del motore di prenotazione e tracciamento degli accessi, e senza queste basi qualunque numero scritto nel piano sarebbe una stima non verificabile. La prima azione di governance, quindi, non è un target ma l'attivazione degli strumenti di misura - motore di prenotazione, Google Business Profile, eventuali accessi a strumenti di analisi del traffico - nella finestra di cantiere già definita in roadmap, così che la prossima stagione parta con baseline reali su cui costruire obiettivi concreti l'anno successivo.</w:t>
      </w:r>
    </w:p>
    <w:p>
      <w:r>
        <w:t>Il rating aggregato è una media cumulata su centinaia di recensioni e si muove lentamente: impostare una verifica trimestrale evita sia l'allarme su oscillazioni minori sia la falsa attesa di un salto rapido dopo una singola azione (ad esempio l'intervento su materassi e cuscini). La verifica trimestrale va letta insieme al tema che la genera - gestione familiare e colazione restano le leve da proteggere, i piccoli attriti su camere e aree comuni quelle da monitorare - senza bisogno di nuovi indicatori oltre al rating stesso.</w:t>
      </w:r>
    </w:p>
    <w:p>
      <w:r>
        <w:t>Il presidio delle keyword di destinazione è oggi a zero e rappresenta il gap più strutturale del piano: va misurato con cadenza più fitta a ridosso dell'apertura, quando il cantiere contenuti e dati strutturati deve tradursi in posizionamenti reali, e con cadenza più larga nei mesi di chiusura in cui il lavoro è prevalentemente di produzione e non di risultato. La stessa logica vale per la copertura degli schema mancanti, verifica puntuale alla chiusura del cantiere e poi controllo annuale di tenuta.</w:t>
      </w:r>
    </w:p>
    <w:p>
      <w:r>
        <w:t>La visibilità sugli assistenti AI resta un segnale parziale, non un dato consolidato: due assistenti su tre non sono stati misurabili per un problema tecnico e vanno rimessi in audit prima di trarre conclusioni. Finché il quadro non è completo, il governo di questo KPI è un obiettivo di processo - ripetere la misura - non un target di presenza o posizionamento.</w:t>
      </w:r>
    </w:p>
    <w:p>
      <w:r>
        <w:t>La lista contatti dei clienti abituali è la base della newsletter di riapertura già pianificata: la sua crescita va tracciata nei mesi di attivazione pre-stagione, perché è l'indicatore anticipatore più diretto della capacità del canale proprio di intercettare chi è già stato ospite prima che la domanda si sposti sui portali.</w:t>
      </w:r>
    </w:p>
    <w:p>
      <w:pPr>
        <w:spacing w:before="160" w:after="40"/>
      </w:pPr>
      <w:r>
        <w:rPr>
          <w:b/>
          <w:color w:val="2F5D62"/>
          <w:sz w:val="24"/>
        </w:rPr>
        <w:t>KPI</w:t>
      </w:r>
    </w:p>
    <w:p>
      <w:pPr>
        <w:pStyle w:val="ListBullet"/>
      </w:pPr>
      <w:r>
        <w:t>Rating aggregato multi-piattaforma — v. tabella sopra</w:t>
      </w:r>
    </w:p>
    <w:p>
      <w:pPr>
        <w:pStyle w:val="ListBullet"/>
      </w:pPr>
      <w:r>
        <w:t>Keyword di destinazione presidiate — v. tabella sopra</w:t>
      </w:r>
    </w:p>
    <w:p>
      <w:pPr>
        <w:pStyle w:val="ListBullet"/>
      </w:pPr>
      <w:r>
        <w:t>Copertura dati strutturati sul sito — v. tabella sopra</w:t>
      </w:r>
    </w:p>
    <w:p>
      <w:pPr>
        <w:pStyle w:val="ListBullet"/>
      </w:pPr>
      <w:r>
        <w:t>Quota di prenotazioni dirette — v. tabella sopra</w:t>
      </w:r>
    </w:p>
    <w:p>
      <w:pPr>
        <w:pStyle w:val="ListBullet"/>
      </w:pPr>
      <w:r>
        <w:t>Audit tecnico del motore di prenotazione — v. tabella sopra</w:t>
      </w:r>
    </w:p>
    <w:p>
      <w:pPr>
        <w:pStyle w:val="ListBullet"/>
      </w:pPr>
      <w:r>
        <w:t>Visibilità sugli assistenti AI — v. tabella sopra</w:t>
      </w:r>
    </w:p>
    <w:p>
      <w:pPr>
        <w:pStyle w:val="ListBullet"/>
      </w:pPr>
      <w:r>
        <w:t>Crescita della lista contatti clienti abituali — v. tabella sopra</w:t>
      </w:r>
    </w:p>
    <w:p>
      <w:pPr>
        <w:spacing w:before="160" w:after="40"/>
      </w:pPr>
      <w:r>
        <w:rPr>
          <w:b/>
          <w:color w:val="2F5D62"/>
          <w:sz w:val="24"/>
        </w:rPr>
        <w:t>Note esecutive</w:t>
      </w:r>
    </w:p>
    <w:p>
      <w:pPr>
        <w:pStyle w:val="ListBullet"/>
      </w:pPr>
      <w:r>
        <w:t>Gli indicatori di costo e rendimento dell'acquisizione (differenziale diretto/intermediato, costo per prenotazione nei due canali, ritorno sulla spesa pubblicitaria) sono riferimenti di settore da validare con i dati reali della struttura una volta attivato il tracciamento: non vanno trattati come target propri dell'Hotel Cavalli finché manca la baseline.</w:t>
      </w:r>
    </w:p>
    <w:p>
      <w:pPr>
        <w:pStyle w:val="ListBullet"/>
      </w:pPr>
      <w:r>
        <w:t>Le metriche tariffarie e di rendimento camere restano di competenza della struttura e non rientrano nel governo di questo piano.</w:t>
      </w:r>
    </w:p>
    <w:p>
      <w:pPr>
        <w:pStyle w:val="ListBullet"/>
      </w:pPr>
      <w:r>
        <w:t>La cadenza di verifica segue l'archetipo stagionale della struttura: più fitta in avvicinamento e durante l'apertura, più larga a struttura chiusa, con un punto di revisione strategica a fine stagione.</w:t>
      </w:r>
    </w:p>
    <w:p>
      <w:r>
        <w:br w:type="page"/>
      </w:r>
    </w:p>
    <w:p>
      <w:pPr>
        <w:spacing w:after="0"/>
      </w:pPr>
      <w:r>
        <w:rPr>
          <w:b/>
          <w:color w:val="2F5D62"/>
          <w:sz w:val="18"/>
        </w:rPr>
        <w:t>SEZIONE 07</w:t>
      </w:r>
    </w:p>
    <w:p>
      <w:pPr>
        <w:spacing w:after="200"/>
        <w:pBdr>
          <w:bottom w:val="single" w:sz="18" w:space="6" w:color="2F5D62"/>
        </w:pBdr>
      </w:pPr>
      <w:r>
        <w:rPr>
          <w:b/>
          <w:color w:val="1A1A2E"/>
          <w:sz w:val="40"/>
        </w:rPr>
        <w:t>Budget (ripartizione %)</w:t>
      </w:r>
    </w:p>
    <w:p>
      <w:pPr>
        <w:spacing w:before="160" w:after="40"/>
      </w:pPr>
      <w:r>
        <w:rPr>
          <w:b/>
          <w:color w:val="2F5D62"/>
          <w:sz w:val="24"/>
        </w:rPr>
        <w:t>Ripartizione del budget (%, decision record)</w:t>
      </w:r>
    </w:p>
    <w:p>
      <w:r>
        <w:t>Budget marketing indicativo: 5-7% del ricavo (stadio: crescita). Ripartizione % per canale; gli importi in euro sono nell'allegato economico a cura dell'agenzia.</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Canale</w:t>
            </w:r>
          </w:p>
        </w:tc>
        <w:tc>
          <w:tcPr>
            <w:tcW w:type="dxa" w:w="2880"/>
            <w:shd w:val="clear" w:color="auto" w:fill="2F5D62"/>
          </w:tcPr>
          <w:p>
            <w:r>
              <w:rPr>
                <w:b/>
                <w:color w:val="FFFFFF"/>
                <w:sz w:val="19"/>
              </w:rPr>
              <w:t>Ripartizione %</w:t>
            </w:r>
          </w:p>
        </w:tc>
        <w:tc>
          <w:tcPr>
            <w:tcW w:type="dxa" w:w="2880"/>
            <w:shd w:val="clear" w:color="auto" w:fill="2F5D62"/>
          </w:tcPr>
          <w:p>
            <w:r>
              <w:rPr>
                <w:b/>
                <w:color w:val="FFFFFF"/>
                <w:sz w:val="19"/>
              </w:rPr>
              <w:t>Verdetto</w:t>
            </w:r>
          </w:p>
        </w:tc>
      </w:tr>
      <w:tr>
        <w:tc>
          <w:tcPr>
            <w:tcW w:type="dxa" w:w="2880"/>
          </w:tcPr>
          <w:p>
            <w:r>
              <w:rPr>
                <w:sz w:val="19"/>
              </w:rPr>
              <w:t>SEO organico</w:t>
            </w:r>
          </w:p>
        </w:tc>
        <w:tc>
          <w:tcPr>
            <w:tcW w:type="dxa" w:w="2880"/>
          </w:tcPr>
          <w:p>
            <w:r>
              <w:rPr>
                <w:sz w:val="19"/>
              </w:rPr>
              <w:t>15-25%</w:t>
            </w:r>
          </w:p>
        </w:tc>
        <w:tc>
          <w:tcPr>
            <w:tcW w:type="dxa" w:w="2880"/>
          </w:tcPr>
          <w:p>
            <w:r>
              <w:rPr>
                <w:sz w:val="19"/>
              </w:rPr>
              <w:t>Attivare (prioritario)</w:t>
            </w:r>
          </w:p>
        </w:tc>
      </w:tr>
      <w:tr>
        <w:tc>
          <w:tcPr>
            <w:tcW w:type="dxa" w:w="2880"/>
            <w:shd w:val="clear" w:color="auto" w:fill="EEF2F1"/>
          </w:tcPr>
          <w:p>
            <w:r>
              <w:rPr>
                <w:sz w:val="19"/>
              </w:rPr>
              <w:t>Search advertising (Google Ads)</w:t>
            </w:r>
          </w:p>
        </w:tc>
        <w:tc>
          <w:tcPr>
            <w:tcW w:type="dxa" w:w="2880"/>
            <w:shd w:val="clear" w:color="auto" w:fill="EEF2F1"/>
          </w:tcPr>
          <w:p>
            <w:r>
              <w:rPr>
                <w:sz w:val="19"/>
              </w:rPr>
              <w:t>30-40%</w:t>
            </w:r>
          </w:p>
        </w:tc>
        <w:tc>
          <w:tcPr>
            <w:tcW w:type="dxa" w:w="2880"/>
            <w:shd w:val="clear" w:color="auto" w:fill="EEF2F1"/>
          </w:tcPr>
          <w:p>
            <w:r>
              <w:rPr>
                <w:sz w:val="19"/>
              </w:rPr>
              <w:t>Attivare (stagionale)</w:t>
            </w:r>
          </w:p>
        </w:tc>
      </w:tr>
      <w:tr>
        <w:tc>
          <w:tcPr>
            <w:tcW w:type="dxa" w:w="2880"/>
          </w:tcPr>
          <w:p>
            <w:r>
              <w:rPr>
                <w:sz w:val="19"/>
              </w:rPr>
              <w:t>Sito &amp; booking diretto</w:t>
            </w:r>
          </w:p>
        </w:tc>
        <w:tc>
          <w:tcPr>
            <w:tcW w:type="dxa" w:w="2880"/>
          </w:tcPr>
          <w:p>
            <w:r>
              <w:rPr>
                <w:sz w:val="19"/>
              </w:rPr>
              <w:t>15-25%</w:t>
            </w:r>
          </w:p>
        </w:tc>
        <w:tc>
          <w:tcPr>
            <w:tcW w:type="dxa" w:w="2880"/>
          </w:tcPr>
          <w:p>
            <w:r>
              <w:rPr>
                <w:sz w:val="19"/>
              </w:rPr>
              <w:t>Attivare</w:t>
            </w:r>
          </w:p>
        </w:tc>
      </w:tr>
      <w:tr>
        <w:tc>
          <w:tcPr>
            <w:tcW w:type="dxa" w:w="2880"/>
            <w:shd w:val="clear" w:color="auto" w:fill="EEF2F1"/>
          </w:tcPr>
          <w:p>
            <w:r>
              <w:rPr>
                <w:sz w:val="19"/>
              </w:rPr>
              <w:t>Social organico</w:t>
            </w:r>
          </w:p>
        </w:tc>
        <w:tc>
          <w:tcPr>
            <w:tcW w:type="dxa" w:w="2880"/>
            <w:shd w:val="clear" w:color="auto" w:fill="EEF2F1"/>
          </w:tcPr>
          <w:p>
            <w:r>
              <w:rPr>
                <w:sz w:val="19"/>
              </w:rPr>
              <w:t>15-25%</w:t>
            </w:r>
          </w:p>
        </w:tc>
        <w:tc>
          <w:tcPr>
            <w:tcW w:type="dxa" w:w="2880"/>
            <w:shd w:val="clear" w:color="auto" w:fill="EEF2F1"/>
          </w:tcPr>
          <w:p>
            <w:r>
              <w:rPr>
                <w:sz w:val="19"/>
              </w:rPr>
              <w:t>Rafforzare</w:t>
            </w:r>
          </w:p>
        </w:tc>
      </w:tr>
      <w:tr>
        <w:tc>
          <w:tcPr>
            <w:tcW w:type="dxa" w:w="2880"/>
          </w:tcPr>
          <w:p>
            <w:r>
              <w:rPr>
                <w:sz w:val="19"/>
              </w:rPr>
              <w:t>Email &amp; CRM</w:t>
            </w:r>
          </w:p>
        </w:tc>
        <w:tc>
          <w:tcPr>
            <w:tcW w:type="dxa" w:w="2880"/>
          </w:tcPr>
          <w:p>
            <w:r>
              <w:rPr>
                <w:sz w:val="19"/>
              </w:rPr>
              <w:t>10-15%</w:t>
            </w:r>
          </w:p>
        </w:tc>
        <w:tc>
          <w:tcPr>
            <w:tcW w:type="dxa" w:w="2880"/>
          </w:tcPr>
          <w:p>
            <w:r>
              <w:rPr>
                <w:sz w:val="19"/>
              </w:rPr>
              <w:t>Attivare</w:t>
            </w:r>
          </w:p>
        </w:tc>
      </w:tr>
    </w:tbl>
    <w:p>
      <w:pPr>
        <w:spacing w:after="160"/>
      </w:pPr>
    </w:p>
    <w:p>
      <w:r>
        <w:t>Riferimenti di settore (agency/vendor, da validare sui dati reali del cliente — la ripartizione operativa resta quella della tabella qui sopra): search e metasearch dal 30% al 40%; social e video dal 15% al 25%; SEO, contenuti e presenza locale dal 15% al 25%; email e CRM dal 10% al 15%; display e retargeting dal 5% al 10%; riallocazione trimestrale dal 10% al 20% in base ai risultati per canale.</w:t>
      </w:r>
    </w:p>
    <w:p>
      <w:r>
        <w:t>La ripartizione non è un piano di spesa piatto sui dodici mesi: è una sequenza che segue l'archetipo stagionale puro della struttura (apertura mag-set) già fissato in roadmap. Il cantiere sito/contenuti assorbe la quota SEO &amp; content nel periodo di chiusura, quando il sito è fermo e si può intervenire senza fare danno; la quota CRM si attiva prima dell'apertura della domanda di ciascun mercato, non durante; search &amp; metasearch lavora su due finestre distinte (anticipo e close-in) anziché un'unica campagna continua. Il principio guida resta la riallocazione trimestrale in base alle performance, non l'allocazione fissa iniziale.</w:t>
      </w:r>
    </w:p>
    <w:p>
      <w:pPr>
        <w:spacing w:before="160" w:after="40"/>
      </w:pPr>
      <w:r>
        <w:rPr>
          <w:b/>
          <w:color w:val="2F5D62"/>
          <w:sz w:val="24"/>
        </w:rPr>
        <w:t>Obiettivi misurabili</w:t>
      </w:r>
    </w:p>
    <w:p>
      <w:pPr>
        <w:pStyle w:val="ListBullet"/>
      </w:pPr>
      <w:r>
        <w:t>Rispettare la sequenza stagionale della tabella: quota SEO &amp; content concentrata nei mesi di chiusura, quota CRM attivata prima dell'apertura di ciascun mercato (v. roadmap sez. 05)</w:t>
      </w:r>
    </w:p>
    <w:p>
      <w:pPr>
        <w:pStyle w:val="ListBullet"/>
      </w:pPr>
      <w:r>
        <w:t>Impostare un ciclo di riallocazione trimestrale della spesa tra i canali della tabella in base alle performance rilevate (obiettivo di processo: lo storico CAC/ROAS per canale non è oggi disponibile)</w:t>
      </w:r>
    </w:p>
    <w:p>
      <w:pPr>
        <w:pStyle w:val="ListBullet"/>
      </w:pPr>
      <w:r>
        <w:t>Documentare, entro la chiusura della prossima stagione, la prima rilevazione di CAC per canale da usare come base per la riallocazione successiva</w:t>
      </w:r>
    </w:p>
    <w:p>
      <w:pPr>
        <w:spacing w:before="160" w:after="40"/>
      </w:pPr>
      <w:r>
        <w:rPr>
          <w:b/>
          <w:color w:val="2F5D62"/>
          <w:sz w:val="24"/>
        </w:rPr>
        <w:t>Azioni</w:t>
      </w:r>
    </w:p>
    <w:p>
      <w:r>
        <w:t>La quota più ampia della tabella va su search &amp; metasearch proprio perché la domanda di destinazione passa oggi quasi interamente dai portali e il recupero organico richiede tempo: finché il presidio via contenuti non matura, il canale a pagamento è l'unico in grado di intercettare la domanda nella finestra in cui si decide. Va però spesa su due momenti distinti, non in modo continuo: una finestra di anticipo che precede l'apertura della domanda dei mercati con prenotazione lontana, e una finestra close-in a ridosso delle date, coerente con la lettura che l'alta stagione vede domanda e offerta incontrarsi vicino alla partenza.</w:t>
      </w:r>
    </w:p>
    <w:p>
      <w:r>
        <w:t>La quota SEO &amp; content ha senso solo se collocata nel cantiere di chiusura: pubblicare pagine, dati strutturati e contenuti di destinazione a stagione aperta significherebbe sottrarre tempo alla gestione diretta che oggi è il punto di forza riconosciuto dagli ospiti. Il cantiere digitale (pagine segmento, struttura dati, contenuti sulle query di destinazione) va quindi programmato e speso nei mesi di chiusura, in continuità con quanto già fissato in roadmap.</w:t>
      </w:r>
    </w:p>
    <w:p>
      <w:r>
        <w:t>La quota email/CRM, pur non essendo la più ampia della tabella, pesa in modo sproporzionato rispetto alla sua percentuale perché agisce sul pubblico già acquisito: una quota di clientela abituale già emerge spontaneamente dalle recensioni, segno di una fedeltà oggi sostenuta solo dal passaparola. Spendere questa quota prima dell'apertura di ciascun mercato, e non durante, è la condizione perché la comunicazione ai clienti abituali preceda — e non rincorra — le prenotazioni dei nuovi arrivi.</w:t>
      </w:r>
    </w:p>
    <w:p>
      <w:r>
        <w:t>Social &amp; video va alimentato con il materiale raccolto in stagione (foto e contenuti dal campo, quando la struttura è aperta e viva), ma la pubblicazione e l'eventuale spinta a pagamento si estendono su tutto l'anno per sostenere l'inspiration dei segmenti famiglia e coppia nella fase di ricerca, oggi non presidiata da contenuti dedicati sul sito.</w:t>
      </w:r>
    </w:p>
    <w:p>
      <w:r>
        <w:t>La quota display/retargeting, la più contenuta della tabella, va riservata ai momenti di minore pressione commerciale — le spalle di giugno e settembre e il ridosso delle date in piena stagione — per recuperare chi ha già mostrato interesse senza disperdere budget in prospezione fredda, che altri canali coprono meglio.</w:t>
      </w:r>
    </w:p>
    <w:p>
      <w:pPr>
        <w:spacing w:before="160" w:after="40"/>
      </w:pPr>
      <w:r>
        <w:rPr>
          <w:b/>
          <w:color w:val="2F5D62"/>
          <w:sz w:val="24"/>
        </w:rPr>
        <w:t>KPI</w:t>
      </w:r>
    </w:p>
    <w:p>
      <w:r>
        <w:t>Le metriche di controllo del mix (CAC per canale, ROAS su search/metasearch, quota diretta) sono trattate in sez. 06; qui il controllo operativo è sul rispetto della sequenza stagionale e sulla cadenza trimestrale di riallocazione tra i canali della tabella.</w:t>
      </w:r>
    </w:p>
    <w:p>
      <w:pPr>
        <w:spacing w:before="160" w:after="40"/>
      </w:pPr>
      <w:r>
        <w:rPr>
          <w:b/>
          <w:color w:val="2F5D62"/>
          <w:sz w:val="24"/>
        </w:rPr>
        <w:t>Note esecutive</w:t>
      </w:r>
    </w:p>
    <w:p>
      <w:pPr>
        <w:pStyle w:val="ListBullet"/>
      </w:pPr>
      <w:r>
        <w:t>La tabella esprime una ripartizione percentuale tra i canali attivabili, non un importo: l'allocazione in valore assoluto richiede il ricavo reale della struttura, oggi non disponibile (v. sez. 08)</w:t>
      </w:r>
    </w:p>
    <w:p>
      <w:pPr>
        <w:pStyle w:val="ListBullet"/>
      </w:pPr>
      <w:r>
        <w:t>Le metriche tariffarie e di rendimento restano di competenza della struttura: questo piano non tocca prezzi e listini se non come vetrina</w:t>
      </w:r>
    </w:p>
    <w:p>
      <w:pPr>
        <w:pStyle w:val="ListBullet"/>
      </w:pPr>
      <w:r>
        <w:t>La riallocazione trimestrale presuppone una prima rilevazione di CAC/ROAS per canale: finché manca, il mix della tabella resta il punto di partenza da validare, non un punto di arrivo</w:t>
      </w:r>
    </w:p>
    <w:p>
      <w:r>
        <w:br w:type="page"/>
      </w:r>
    </w:p>
    <w:p>
      <w:pPr>
        <w:spacing w:after="0"/>
      </w:pPr>
      <w:r>
        <w:rPr>
          <w:b/>
          <w:color w:val="2F5D62"/>
          <w:sz w:val="18"/>
        </w:rPr>
        <w:t>APPENDICE</w:t>
      </w:r>
    </w:p>
    <w:p>
      <w:pPr>
        <w:spacing w:after="200"/>
        <w:pBdr>
          <w:bottom w:val="single" w:sz="18" w:space="6" w:color="2F5D62"/>
        </w:pBdr>
      </w:pPr>
      <w:r>
        <w:rPr>
          <w:b/>
          <w:color w:val="1A1A2E"/>
          <w:sz w:val="40"/>
        </w:rPr>
        <w:t>Assunzioni &amp; input mancanti</w:t>
      </w:r>
    </w:p>
    <w:p>
      <w:r>
        <w:t>Questo piano è costruito su dati reali di recensioni, domanda di ricerca e posizionamento organico, ma per diventare operativo richiede alcuni input che oggi non sono disponibili e alcuni benchmark di settore usati come riferimento, non come target del cliente. Questa sezione li elenca in modo trasparente, perché la credibilità del piano dipende dal non spacciare ipotesi per dati: ogni numero senza fonte verificabile qui sotto resta da raccogliere prima di fissare obiettivi vincolanti nelle sezioni precedenti.</w:t>
      </w:r>
    </w:p>
    <w:p>
      <w:pPr>
        <w:spacing w:before="160" w:after="40"/>
      </w:pPr>
      <w:r>
        <w:rPr>
          <w:b/>
          <w:color w:val="2F5D62"/>
          <w:sz w:val="24"/>
        </w:rPr>
        <w:t>Obiettivi misurabili</w:t>
      </w:r>
    </w:p>
    <w:p>
      <w:pPr>
        <w:pStyle w:val="ListBullet"/>
      </w:pPr>
      <w:r>
        <w:t>Raccogliere entro l'avvio del cantiere invernale i dati cliente mancanti elencati in questa sezione (accessi piattaforme, quota diretta storica, budget reale)</w:t>
      </w:r>
    </w:p>
    <w:p>
      <w:pPr>
        <w:pStyle w:val="ListBullet"/>
      </w:pPr>
      <w:r>
        <w:t>Validare, non appena disponibile il ricavo camere reale, la ripartizione % di budget proposta in sez. 07 traducendola in importi</w:t>
      </w:r>
    </w:p>
    <w:p>
      <w:pPr>
        <w:pStyle w:val="ListBullet"/>
      </w:pPr>
      <w:r>
        <w:t>Rieseguire l'audit di visibilità sugli assistenti AI con chiavi funzionanti su tutti e tre gli assistenti target</w:t>
      </w:r>
    </w:p>
    <w:p>
      <w:pPr>
        <w:spacing w:before="160" w:after="40"/>
      </w:pPr>
      <w:r>
        <w:rPr>
          <w:b/>
          <w:color w:val="2F5D62"/>
          <w:sz w:val="24"/>
        </w:rPr>
        <w:t>Azioni</w:t>
      </w:r>
    </w:p>
    <w:p>
      <w:r>
        <w:t>Il piano usa benchmark di settore in tre punti soltanto, e vanno trattati come riferimenti da validare, non come target uguali per ogni struttura: la ripartizione di budget per canale/attività in sez. 07 segue logiche di settore su pesi stagionali e di canale, non una % derivata dal ricavo di Hotel Cavalli; i riferimenti di costo di acquisizione diretto vs intermediato (OTA) citati come cornice nelle sezioni canale sono intervalli di mercato, non misurazioni della struttura; l'obiettivo di ritorno sulla spesa pubblicitaria (ROAS) indicativo per il canale brand/metasearch è anch'esso un riferimento di settore. In tutti e tre i casi l'azione è la stessa: applicare la logica, misurare il reale, e correggere la ripartizione nel primo ciclo di revisione del piano quando il dato cliente sarà disponibile.</w:t>
      </w:r>
    </w:p>
    <w:p>
      <w:r>
        <w:t>Mancano oggi la quota reale di prenotazioni dirette e il relativo costo di acquisizione storico: senza questa baseline nessun obiettivo numerico di spostamento verso il diretto (richiamato in sez. 03 e 04) può essere fissato in modo responsabile, e resta correttamente impostato come obiettivo di processo (tracciare, poi targettizzare). L'azione è attivare da subito un tracciamento che distingua prenotazioni dirette da OTA, cosa che oggi non risulta disponibile.</w:t>
      </w:r>
    </w:p>
    <w:p>
      <w:r>
        <w:t>Mancano gli accessi a Google Analytics 4, Search Console, Google Business Profile e al motore di prenotazione diretto: senza questi, l'audit tecnico del booking engine richiamato in sez. 03 (velocità mobile, step, parity vs OTA) e la verifica di copertura organica non possono essere eseguiti nel dettaglio. L'azione è richiedere l'accesso in lettura a questi strumenti come primo passo del cantiere invernale, prima di qualunque intervento tecnico sul sito.</w:t>
      </w:r>
    </w:p>
    <w:p>
      <w:r>
        <w:t>Il budget marketing reale e il ricavo camere non sono disponibili: la ripartizione proposta in sez. 07 resta quindi espressa solo in percentuale per canale/attività, mai in importo assoluto. L'azione è raccogliere dal cliente il dato di ricavo e l'eventuale budget storico già investito, per trasformare la ripartizione percentuale in un piano di spesa effettivo; l'importo in euro e la proposta commerciale restano un allegato separato, di competenza dell'agenzia, non di questo piano.</w:t>
      </w:r>
    </w:p>
    <w:p>
      <w:r>
        <w:t>Il calendario eventi locali (fiere, eventi motoristici fuori dal weekend MotoGP già noto, manifestazioni di destinazione) non è stato fornito: la roadmap in sez. 05 lo tratta come input da integrare man mano che si rende disponibile, perché può modificare le finestre di campagna di picco già fissate. L'azione è richiedere il calendario al cliente o alla destinazione (ente del turismo locale) prima della definizione esecutiva dei contenuti stagionali.</w:t>
      </w:r>
    </w:p>
    <w:p>
      <w:r>
        <w:t>La domanda di ricerca (keyword, volumi, stato di presidio) è già un dato acquisito e usato in tutto il piano: non è un input mancante. Resta da integrare, quando disponibile, un export aggiornato che funzioni da delta datato rispetto al ledger attuale, oltre ai dati di traffico e query reali da Search Console e GA4, oggi assenti, che permetterebbero di passare dalla domanda teorica (volumi di ricerca) al comportamento reale degli utenti sul sito.</w:t>
      </w:r>
    </w:p>
    <w:p>
      <w:r>
        <w:t>L'audit di visibilità sugli assistenti AI (motori di risposta) risulta parziale: due assistenti su tre non sono stati interrogabili per un problema tecnico di accesso, quindi il loro esito è da considerare non misurato, non assente. L'azione è rieseguire l'audit con accesso funzionante su tutti gli assistenti target prima di trarre conclusioni definitive sulla visibilità AEO della struttura.</w:t>
      </w:r>
    </w:p>
    <w:p>
      <w:pPr>
        <w:spacing w:before="160" w:after="40"/>
      </w:pPr>
      <w:r>
        <w:rPr>
          <w:b/>
          <w:color w:val="2F5D62"/>
          <w:sz w:val="24"/>
        </w:rPr>
        <w:t>KPI</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Input mancante</w:t>
            </w:r>
          </w:p>
        </w:tc>
        <w:tc>
          <w:tcPr>
            <w:tcW w:type="dxa" w:w="2880"/>
            <w:shd w:val="clear" w:color="auto" w:fill="2F5D62"/>
          </w:tcPr>
          <w:p>
            <w:r>
              <w:rPr>
                <w:b/>
                <w:color w:val="FFFFFF"/>
                <w:sz w:val="19"/>
              </w:rPr>
              <w:t>KPI/uso nel piano bloccato</w:t>
            </w:r>
          </w:p>
        </w:tc>
        <w:tc>
          <w:tcPr>
            <w:tcW w:type="dxa" w:w="2880"/>
            <w:shd w:val="clear" w:color="auto" w:fill="2F5D62"/>
          </w:tcPr>
          <w:p>
            <w:r>
              <w:rPr>
                <w:b/>
                <w:color w:val="FFFFFF"/>
                <w:sz w:val="19"/>
              </w:rPr>
              <w:t>Fonte da attivare</w:t>
            </w:r>
          </w:p>
        </w:tc>
      </w:tr>
      <w:tr>
        <w:tc>
          <w:tcPr>
            <w:tcW w:type="dxa" w:w="2880"/>
          </w:tcPr>
          <w:p>
            <w:r>
              <w:rPr>
                <w:sz w:val="19"/>
              </w:rPr>
              <w:t>Quota prenotazioni dirette storica e CAC per canale</w:t>
            </w:r>
          </w:p>
        </w:tc>
        <w:tc>
          <w:tcPr>
            <w:tcW w:type="dxa" w:w="2880"/>
          </w:tcPr>
          <w:p>
            <w:r>
              <w:rPr>
                <w:sz w:val="19"/>
              </w:rPr>
              <w:t>Target di spostamento diretto/OTA (sez. 03-04)</w:t>
            </w:r>
          </w:p>
        </w:tc>
        <w:tc>
          <w:tcPr>
            <w:tcW w:type="dxa" w:w="2880"/>
          </w:tcPr>
          <w:p>
            <w:r>
              <w:rPr>
                <w:sz w:val="19"/>
              </w:rPr>
              <w:t>PMS / channel manager del cliente</w:t>
            </w:r>
          </w:p>
        </w:tc>
      </w:tr>
      <w:tr>
        <w:tc>
          <w:tcPr>
            <w:tcW w:type="dxa" w:w="2880"/>
            <w:shd w:val="clear" w:color="auto" w:fill="EEF2F1"/>
          </w:tcPr>
          <w:p>
            <w:r>
              <w:rPr>
                <w:sz w:val="19"/>
              </w:rPr>
              <w:t>Budget marketing reale e ricavo camere</w:t>
            </w:r>
          </w:p>
        </w:tc>
        <w:tc>
          <w:tcPr>
            <w:tcW w:type="dxa" w:w="2880"/>
            <w:shd w:val="clear" w:color="auto" w:fill="EEF2F1"/>
          </w:tcPr>
          <w:p>
            <w:r>
              <w:rPr>
                <w:sz w:val="19"/>
              </w:rPr>
              <w:t>Conversione della ripartizione % (sez. 07) in importo</w:t>
            </w:r>
          </w:p>
        </w:tc>
        <w:tc>
          <w:tcPr>
            <w:tcW w:type="dxa" w:w="2880"/>
            <w:shd w:val="clear" w:color="auto" w:fill="EEF2F1"/>
          </w:tcPr>
          <w:p>
            <w:r>
              <w:rPr>
                <w:sz w:val="19"/>
              </w:rPr>
              <w:t>Dato amministrativo cliente</w:t>
            </w:r>
          </w:p>
        </w:tc>
      </w:tr>
      <w:tr>
        <w:tc>
          <w:tcPr>
            <w:tcW w:type="dxa" w:w="2880"/>
          </w:tcPr>
          <w:p>
            <w:r>
              <w:rPr>
                <w:sz w:val="19"/>
              </w:rPr>
              <w:t>Accessi GA4 / Search Console / Google Business Profile</w:t>
            </w:r>
          </w:p>
        </w:tc>
        <w:tc>
          <w:tcPr>
            <w:tcW w:type="dxa" w:w="2880"/>
          </w:tcPr>
          <w:p>
            <w:r>
              <w:rPr>
                <w:sz w:val="19"/>
              </w:rPr>
              <w:t>Audit organico e booking engine, baseline traffico (sez. 03)</w:t>
            </w:r>
          </w:p>
        </w:tc>
        <w:tc>
          <w:tcPr>
            <w:tcW w:type="dxa" w:w="2880"/>
          </w:tcPr>
          <w:p>
            <w:r>
              <w:rPr>
                <w:sz w:val="19"/>
              </w:rPr>
              <w:t>Concessione accessi cliente</w:t>
            </w:r>
          </w:p>
        </w:tc>
      </w:tr>
      <w:tr>
        <w:tc>
          <w:tcPr>
            <w:tcW w:type="dxa" w:w="2880"/>
            <w:shd w:val="clear" w:color="auto" w:fill="EEF2F1"/>
          </w:tcPr>
          <w:p>
            <w:r>
              <w:rPr>
                <w:sz w:val="19"/>
              </w:rPr>
              <w:t>Accesso tecnico al motore di prenotazione diretto</w:t>
            </w:r>
          </w:p>
        </w:tc>
        <w:tc>
          <w:tcPr>
            <w:tcW w:type="dxa" w:w="2880"/>
            <w:shd w:val="clear" w:color="auto" w:fill="EEF2F1"/>
          </w:tcPr>
          <w:p>
            <w:r>
              <w:rPr>
                <w:sz w:val="19"/>
              </w:rPr>
              <w:t>Audit velocità/step/parity (sez. 03)</w:t>
            </w:r>
          </w:p>
        </w:tc>
        <w:tc>
          <w:tcPr>
            <w:tcW w:type="dxa" w:w="2880"/>
            <w:shd w:val="clear" w:color="auto" w:fill="EEF2F1"/>
          </w:tcPr>
          <w:p>
            <w:r>
              <w:rPr>
                <w:sz w:val="19"/>
              </w:rPr>
              <w:t>Fornitore booking engine / cliente</w:t>
            </w:r>
          </w:p>
        </w:tc>
      </w:tr>
      <w:tr>
        <w:tc>
          <w:tcPr>
            <w:tcW w:type="dxa" w:w="2880"/>
          </w:tcPr>
          <w:p>
            <w:r>
              <w:rPr>
                <w:sz w:val="19"/>
              </w:rPr>
              <w:t>Calendario eventi locali e fiere di destinazione</w:t>
            </w:r>
          </w:p>
        </w:tc>
        <w:tc>
          <w:tcPr>
            <w:tcW w:type="dxa" w:w="2880"/>
          </w:tcPr>
          <w:p>
            <w:r>
              <w:rPr>
                <w:sz w:val="19"/>
              </w:rPr>
              <w:t>Affinamento finestre di campagna (sez. 05)</w:t>
            </w:r>
          </w:p>
        </w:tc>
        <w:tc>
          <w:tcPr>
            <w:tcW w:type="dxa" w:w="2880"/>
          </w:tcPr>
          <w:p>
            <w:r>
              <w:rPr>
                <w:sz w:val="19"/>
              </w:rPr>
              <w:t>Cliente / ente turismo locale</w:t>
            </w:r>
          </w:p>
        </w:tc>
      </w:tr>
      <w:tr>
        <w:tc>
          <w:tcPr>
            <w:tcW w:type="dxa" w:w="2880"/>
            <w:shd w:val="clear" w:color="auto" w:fill="EEF2F1"/>
          </w:tcPr>
          <w:p>
            <w:r>
              <w:rPr>
                <w:sz w:val="19"/>
              </w:rPr>
              <w:t>Audit AEO completo (Gemini, Perplexity funzionanti)</w:t>
            </w:r>
          </w:p>
        </w:tc>
        <w:tc>
          <w:tcPr>
            <w:tcW w:type="dxa" w:w="2880"/>
            <w:shd w:val="clear" w:color="auto" w:fill="EEF2F1"/>
          </w:tcPr>
          <w:p>
            <w:r>
              <w:rPr>
                <w:sz w:val="19"/>
              </w:rPr>
              <w:t>Verifica visibilità su assistenti AI (sez. 02-03)</w:t>
            </w:r>
          </w:p>
        </w:tc>
        <w:tc>
          <w:tcPr>
            <w:tcW w:type="dxa" w:w="2880"/>
            <w:shd w:val="clear" w:color="auto" w:fill="EEF2F1"/>
          </w:tcPr>
          <w:p>
            <w:r>
              <w:rPr>
                <w:sz w:val="19"/>
              </w:rPr>
              <w:t>Rilancio audit con chiavi valide</w:t>
            </w:r>
          </w:p>
        </w:tc>
      </w:tr>
    </w:tbl>
    <w:p>
      <w:pPr>
        <w:spacing w:after="160"/>
      </w:pPr>
    </w:p>
    <w:p>
      <w:pPr>
        <w:spacing w:before="160" w:after="40"/>
      </w:pPr>
      <w:r>
        <w:rPr>
          <w:b/>
          <w:color w:val="2F5D62"/>
          <w:sz w:val="24"/>
        </w:rPr>
        <w:t>Note esecutive</w:t>
      </w:r>
    </w:p>
    <w:p>
      <w:pPr>
        <w:pStyle w:val="ListBullet"/>
      </w:pPr>
      <w:r>
        <w:t>Le metriche tariffarie e di rendimento (quelle tipiche della gestione dei prezzi camera) restano di competenza della struttura: questo piano non le tratta né le stima, nemmeno come riferimento indiretto</w:t>
      </w:r>
    </w:p>
    <w:p>
      <w:pPr>
        <w:pStyle w:val="ListBullet"/>
      </w:pPr>
      <w:r>
        <w:t>Nessun importo in euro compare in questo piano al di fuori di questa sezione: la proposta commerciale con gli importi è un allegato separato, a cura dell'agenzia</w:t>
      </w:r>
    </w:p>
    <w:p>
      <w:pPr>
        <w:pStyle w:val="ListBullet"/>
      </w:pPr>
      <w:r>
        <w:t>I benchmark di settore citati nel piano vanno sempre letti come punto di partenza da validare col primo ciclo di dati reali, non come obiettivo già raggiunto o promesso</w:t>
      </w:r>
    </w:p>
    <w:p>
      <w:pPr>
        <w:pStyle w:val="ListBullet"/>
      </w:pPr>
      <w:r>
        <w:t>Priorità di raccolta dati consigliata: accessi alle piattaforme (GA4/Search Console/GBP/booking engine) e dato di quota diretta storica, perché condizionano la validazione di più sezioni del piano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22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