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pPr>
    </w:p>
    <w:p>
      <w:pPr>
        <w:shd w:val="clear" w:color="auto" w:fill="2F5D62"/>
        <w:spacing w:before="200" w:after="200"/>
        <w:jc w:val="center"/>
      </w:pPr>
      <w:r>
        <w:rPr>
          <w:b/>
          <w:color w:val="FFFFFF"/>
          <w:sz w:val="30"/>
        </w:rPr>
        <w:t>PIANO STRATEGICO DI MARKETING</w:t>
      </w:r>
    </w:p>
    <w:p>
      <w:pPr>
        <w:spacing w:before="480"/>
        <w:jc w:val="center"/>
      </w:pPr>
      <w:r>
        <w:rPr>
          <w:b/>
          <w:color w:val="1A1A2E"/>
          <w:sz w:val="60"/>
        </w:rPr>
        <w:t>HOTEL AMBASCIATORI</w:t>
      </w:r>
    </w:p>
    <w:p>
      <w:pPr>
        <w:jc w:val="center"/>
      </w:pPr>
      <w:r>
        <w:rPr>
          <w:color w:val="6B7280"/>
          <w:sz w:val="26"/>
        </w:rPr>
        <w:t>Riccione  ·  4 stelle</w:t>
      </w:r>
    </w:p>
    <w:p>
      <w:pPr>
        <w:spacing w:before="360"/>
        <w:pBdr>
          <w:bottom w:val="single" w:sz="12" w:space="6" w:color="2F5D62"/>
        </w:pBdr>
      </w:pPr>
    </w:p>
    <w:p>
      <w:pPr>
        <w:spacing w:before="160"/>
        <w:jc w:val="center"/>
      </w:pPr>
      <w:r>
        <w:rPr>
          <w:color w:val="6B7280"/>
          <w:sz w:val="18"/>
        </w:rPr>
        <w:t>Documento operativo · 27/07/2026 23:33 · Uso interno</w:t>
        <w:br/>
        <w:t>A cura di Agenzia · su base di analisi diagnostica</w:t>
        <w:br/>
        <w:t>Proposta economica: allegato separato a cura di Agenzia</w:t>
      </w:r>
    </w:p>
    <w:p>
      <w:r>
        <w:br w:type="page"/>
      </w:r>
    </w:p>
    <w:p>
      <w:pPr>
        <w:pBdr>
          <w:bottom w:val="single" w:sz="14" w:space="6" w:color="2F5D62"/>
        </w:pBdr>
      </w:pPr>
      <w:r>
        <w:rPr>
          <w:b/>
          <w:color w:val="1A1A2E"/>
          <w:sz w:val="36"/>
        </w:rPr>
        <w:t>Indice del Piano</w:t>
      </w:r>
    </w:p>
    <w:p>
      <w:r>
        <w:rPr>
          <w:color w:val="6B7280"/>
        </w:rPr>
        <w:t>Documento strategico di vertice: trasforma l'analisi diagnostica competitiva e reputazionale in un piano operativo di marketing. Per ogni area: sintesi strategica, obiettivi misurabili, azioni (Evidenza → Implicazione → Azione) e KPI.</w:t>
      </w:r>
    </w:p>
    <w:p>
      <w:pPr>
        <w:pStyle w:val="ListNumber"/>
      </w:pPr>
      <w:r>
        <w:t>01 — Executive summary &amp; posizionamento</w:t>
      </w:r>
    </w:p>
    <w:p>
      <w:pPr>
        <w:pStyle w:val="ListNumber"/>
      </w:pPr>
      <w:r>
        <w:t>02 — Segmenti prioritari &amp; messaggi</w:t>
      </w:r>
    </w:p>
    <w:p>
      <w:pPr>
        <w:pStyle w:val="ListNumber"/>
      </w:pPr>
      <w:r>
        <w:t>03 — Strategia di canale (core)</w:t>
      </w:r>
    </w:p>
    <w:p>
      <w:pPr>
        <w:pStyle w:val="ListNumber"/>
      </w:pPr>
      <w:r>
        <w:t>04 — Distribuzione &amp; mercati</w:t>
      </w:r>
    </w:p>
    <w:p>
      <w:pPr>
        <w:pStyle w:val="ListNumber"/>
      </w:pPr>
      <w:r>
        <w:t>05 — Roadmap 12 mesi</w:t>
      </w:r>
    </w:p>
    <w:p>
      <w:pPr>
        <w:pStyle w:val="ListNumber"/>
      </w:pPr>
      <w:r>
        <w:t>06 — Misurazione &amp; governance</w:t>
      </w:r>
    </w:p>
    <w:p>
      <w:pPr>
        <w:pStyle w:val="ListNumber"/>
      </w:pPr>
      <w:r>
        <w:t>07 — Budget (ripartizione %)</w:t>
      </w:r>
    </w:p>
    <w:p>
      <w:pPr>
        <w:pStyle w:val="ListNumber"/>
      </w:pPr>
      <w:r>
        <w:t>08 — Assunzioni &amp; input mancanti</w:t>
      </w:r>
    </w:p>
    <w:p>
      <w:r>
        <w:br w:type="page"/>
      </w:r>
    </w:p>
    <w:p>
      <w:pPr>
        <w:spacing w:after="0"/>
      </w:pPr>
      <w:r>
        <w:rPr>
          <w:b/>
          <w:color w:val="2F5D62"/>
          <w:sz w:val="18"/>
        </w:rPr>
        <w:t>SEZIONE 01</w:t>
      </w:r>
    </w:p>
    <w:p>
      <w:pPr>
        <w:spacing w:after="200"/>
        <w:pBdr>
          <w:bottom w:val="single" w:sz="18" w:space="6" w:color="2F5D62"/>
        </w:pBdr>
      </w:pPr>
      <w:r>
        <w:rPr>
          <w:b/>
          <w:color w:val="1A1A2E"/>
          <w:sz w:val="40"/>
        </w:rPr>
        <w:t>Executive summary &amp; posizionamento</w:t>
      </w:r>
    </w:p>
    <w:p>
      <w:r>
        <w:t>Ambasciatori gioca la partita upper-mid del fronte mare di Riccione su due segmenti che già lo scelgono in numeri consistenti — la coppia orientata al relax/spa e la famiglia con bambini — con un asset distintivo, la Spa da oltre 500 mq con STARPOOL, che il mercato riconosce ma che oggi non produce alcun ritorno in visibilità organica né in prova sociale proporzionata al peso reale del segmento famiglie. La mossa strategica non è cambiare posizionamento ma colmare la distanza tra ciò che la struttura è (dual-target wellness + MICE, fronte mare, upper-mid) e ciò che il mercato digitale può vedere di lei: portare a terra, in contenuto e in struttura dati, un posizionamento già validato dalla clientela e dalle recensioni, presidiare le query non-brand ad alto volume sulla destinazione e sulla spa, e rafforzare la densità di prova sociale family laddove il segmento è forte ma silenzioso. Il business/MICE resta terzo asse strutturale, coerente con sale meeting e prossimità a Palazzo dei Congressi e quartiere fieristico, da presidiare senza spostare risorse dai due assi leisure prioritari.</w:t>
      </w:r>
    </w:p>
    <w:p>
      <w:pPr>
        <w:spacing w:before="160" w:after="40"/>
      </w:pPr>
      <w:r>
        <w:rPr>
          <w:b/>
          <w:color w:val="2F5D62"/>
          <w:sz w:val="24"/>
        </w:rPr>
        <w:t>Posizionamento target vs comp-set reale</w:t>
      </w:r>
    </w:p>
    <w:p>
      <w:r>
        <w:t>Nel set comportamentale di riferimento (8 competitor diretti, co-considerazione reale d'acquisto) Ambasciatori si colloca sopra la media per rating ma indietro in visibilità: unico competitor che supera nettamente è Atlantic Hotel, mentre altri quattro con rating pari o inferiore precedono comunque la struttura nel ranking aggregato — segno che il differenziale non è (solo) reputazionale ma di presidio digitale. Il posizionamento target non richiede quindi di rincorrere il rating quanto di tradurre gli asset già forti — spa, posizione, staff — in presenza organica e in contenuti che parlino la lingua di ricerca dell'utente, oggi quasi del tutto assente.</w:t>
      </w:r>
    </w:p>
    <w:p>
      <w:pPr>
        <w:spacing w:before="160" w:after="40"/>
      </w:pPr>
      <w:r>
        <w:rPr>
          <w:b/>
          <w:color w:val="2F5D62"/>
          <w:sz w:val="24"/>
        </w:rPr>
        <w:t>Deviazione di archetipo</w:t>
      </w:r>
    </w:p>
    <w:p>
      <w:r>
        <w:t>Il sito dichiara un target ampio (coppie, famiglie, business, pet owner, clientela luxury) coerente con la struttura reale, ma la distribuzione dell'attenzione digitale non rispecchia i pesi reali dei segmenti: la spa domina la conversazione (secondo tema più citato) mentre la famiglia, che vale un quarto abbondante della clientela, resta quasi muta in termini di prova sociale e priva di presidio organico su query dedicate. Non è uno scostamento di posizionamento dichiarato ma uno scostamento di enfasi esecutiva: la struttura è già coerente con ciò che promette, va solo resa visibile in proporzione a ciò che vende.</w:t>
      </w:r>
    </w:p>
    <w:p>
      <w:pPr>
        <w:spacing w:before="160" w:after="40"/>
      </w:pPr>
      <w:r>
        <w:rPr>
          <w:b/>
          <w:color w:val="2F5D62"/>
          <w:sz w:val="24"/>
        </w:rPr>
        <w:t>Obiettivi misurabili</w:t>
      </w:r>
    </w:p>
    <w:p>
      <w:pPr>
        <w:pStyle w:val="ListBullet"/>
      </w:pPr>
      <w:r>
        <w:t>Impostare il presidio organico sulle query non-brand a più alto volume legate a destinazione e spa (obiettivo di processo: baseline attuale di presidio non disponibile, v. sez. 06)</w:t>
      </w:r>
    </w:p>
    <w:p>
      <w:pPr>
        <w:pStyle w:val="ListBullet"/>
      </w:pPr>
      <w:r>
        <w:t>Aumentare la densità di prova sociale family nel corpus recensioni tramite sollecitazione post-soggiorno mirata (obiettivo di processo, orizzonte da concordare, v. sez. 08)</w:t>
      </w:r>
    </w:p>
    <w:p>
      <w:pPr>
        <w:pStyle w:val="ListBullet"/>
      </w:pPr>
      <w:r>
        <w:t>Completare l'audit AEO sui due assistenti non misurati prima di allocare budget su azioni di citabilità AI (obiettivo di processo)</w:t>
      </w:r>
    </w:p>
    <w:p>
      <w:pPr>
        <w:spacing w:before="160" w:after="40"/>
      </w:pPr>
      <w:r>
        <w:rPr>
          <w:b/>
          <w:color w:val="2F5D62"/>
          <w:sz w:val="24"/>
        </w:rPr>
        <w:t>Azioni</w:t>
      </w:r>
    </w:p>
    <w:p>
      <w:r>
        <w:t>La spa è già riconosciuta dal mercato come tratto distintivo dell'esperienza, ma nessuna keyword sulla destinazione o sulla spa risulta oggi presidiata: questo significa che chi cerca esattamente ciò che l'hotel offre non lo trova nei risultati organici. La priorità immediata è quindi arricchire le pagine segmento (spa, famiglia, posizione) con contenuto fattuale ricco — metrature, percorsi, servizi — e dati strutturati mancanti (FAQ, LocalBusiness), così da aprire un canale di intercettazione che oggi non esiste, misurando l'avanzamento in posizioni acquisite piuttosto che in traffico generico.</w:t>
      </w:r>
    </w:p>
    <w:p>
      <w:r>
        <w:t>Il segmento famiglia pesa in modo sostanziale sulla clientela ma non lascia quasi traccia nelle recensioni pubbliche dedicate ai servizi bimbo: questo squilibrio indebolisce sia la prova sociale sia la citabilità dei contenuti family agli occhi di chi cerca online e degli assistenti AI. L'azione è sollecitare in modo sistematico recensioni post-soggiorno da famiglie con richiesta esplicita di citare i servizi dedicati, per costruire nel tempo un corpus lessicale coerente con la domanda reale di ricerca family.</w:t>
      </w:r>
    </w:p>
    <w:p>
      <w:r>
        <w:t>L'unico assistente AI interrogabile con successo restituisce assenza della struttura su tutti i segmenti prioritari, ma i due assistenti rimasti non misurati per un problema tecnico impediscono di trarre un giudizio definitivo: prima di investire in azioni correttive ad hoc, va completato l'audit con credenziali valide, evitando di costruire un piano su un segnale parziale.</w:t>
      </w:r>
    </w:p>
    <w:p>
      <w:r>
        <w:t>Il posizionamento dual-target attuale espone a un rischio di sovrapposizione diretta con un competitor che presidia lo stesso terreno (wellness + spazi per congressi e attività bambini): la risposta non è ridefinire il posizionamento ma comunicarne con più insistenza gli elementi quantificabili e distintivi (ampiezza della spa, partnership tecnica) in tutti i contenuti rivolti a coppia e famiglia.</w:t>
      </w:r>
    </w:p>
    <w:p>
      <w:pPr>
        <w:spacing w:before="160" w:after="40"/>
      </w:pPr>
      <w:r>
        <w:rPr>
          <w:b/>
          <w:color w:val="2F5D62"/>
          <w:sz w:val="24"/>
        </w:rPr>
        <w:t>KPI</w:t>
      </w:r>
    </w:p>
    <w:p>
      <w:r>
        <w:t>Il set di KPI numerici di controllo per queste azioni è consolidato in sezione 06 (Measurement); qui si richiamano solo gli obiettivi di processo che li generano.</w:t>
      </w:r>
    </w:p>
    <w:p>
      <w:pPr>
        <w:spacing w:before="160" w:after="40"/>
      </w:pPr>
      <w:r>
        <w:rPr>
          <w:b/>
          <w:color w:val="2F5D62"/>
          <w:sz w:val="24"/>
        </w:rPr>
        <w:t>Note esecutive</w:t>
      </w:r>
    </w:p>
    <w:p>
      <w:pPr>
        <w:pStyle w:val="ListBullet"/>
      </w:pPr>
      <w:r>
        <w:t>Le metriche tariffarie e di rendimento (prezzi, listini) restano di competenza della struttura: questo piano non le tratta se non come vetrina nelle pagine offerte esistenti</w:t>
      </w:r>
    </w:p>
    <w:p>
      <w:pPr>
        <w:pStyle w:val="ListBullet"/>
      </w:pPr>
      <w:r>
        <w:t>Il posizionamento dichiarato sul sito è confermato dai dati reali di clientela: l'intervento è di enfasi ed esecuzione digitale, non di riposizionamento</w:t>
      </w:r>
    </w:p>
    <w:p>
      <w:pPr>
        <w:pStyle w:val="ListBullet"/>
      </w:pPr>
      <w:r>
        <w:t>Il terzo asse business/MICE va presidiato con azioni dedicate (sez. 03-05) senza sottrarre priorità ai due assi leisure principali</w:t>
      </w:r>
    </w:p>
    <w:p>
      <w:r>
        <w:br w:type="page"/>
      </w:r>
    </w:p>
    <w:p>
      <w:pPr>
        <w:spacing w:after="0"/>
      </w:pPr>
      <w:r>
        <w:rPr>
          <w:b/>
          <w:color w:val="2F5D62"/>
          <w:sz w:val="18"/>
        </w:rPr>
        <w:t>SEZIONE 02</w:t>
      </w:r>
    </w:p>
    <w:p>
      <w:pPr>
        <w:spacing w:after="200"/>
        <w:pBdr>
          <w:bottom w:val="single" w:sz="18" w:space="6" w:color="2F5D62"/>
        </w:pBdr>
      </w:pPr>
      <w:r>
        <w:rPr>
          <w:b/>
          <w:color w:val="1A1A2E"/>
          <w:sz w:val="40"/>
        </w:rPr>
        <w:t>Segmenti prioritari &amp; messaggi</w:t>
      </w:r>
    </w:p>
    <w:p>
      <w:pPr>
        <w:spacing w:before="160" w:after="40"/>
      </w:pPr>
      <w:r>
        <w:rPr>
          <w:b/>
          <w:color w:val="2F5D62"/>
          <w:sz w:val="24"/>
        </w:rPr>
        <w:t>Mix di clientela reale (decision record — verità del piano)</w:t>
      </w:r>
    </w:p>
    <w:p>
      <w:r>
        <w:t>Coppie + Famiglie = 37,3% del mix di clientela reale (recensioni Booking): Coppie 31,9% · Famiglie 5,4%.</w:t>
      </w:r>
    </w:p>
    <w:p>
      <w:r>
        <w:t>La clientela reale dell'Ambasciatori parla già chiaro: quasi la metà dei viaggiatori è in coppia, poco più di un quarto viaggia in famiglia, e un business/MICE strutturato pesa un altro 15-20% grazie a sala Maestrale e vicinanza a Palazzo dei Congressi e quartiere fieristico. Il compito di questa sezione non è confermare questi numeri (già lo fa il posizionamento in apertura) ma tradurli in messaggi operativi per canale e contenuto, ciascuno con il lessico di prodotto corretto: senza formula di soggiorno, piano famiglia o riferimento alla spiaggia inclusa, un messaggio family o coppia resta genericità travestita da marketing.</w:t>
      </w:r>
    </w:p>
    <w:p>
      <w:pPr>
        <w:spacing w:before="160" w:after="40"/>
      </w:pPr>
      <w:r>
        <w:rPr>
          <w:b/>
          <w:color w:val="2F5D62"/>
          <w:sz w:val="24"/>
        </w:rPr>
        <w:t>Persona prioritarie</w:t>
      </w:r>
    </w:p>
    <w:tbl>
      <w:tblPr>
        <w:tblStyle w:val="TableGrid"/>
        <w:tblW w:type="auto" w:w="0"/>
        <w:jc w:val="center"/>
        <w:tblLook w:firstColumn="1" w:firstRow="1" w:lastColumn="0" w:lastRow="0" w:noHBand="0" w:noVBand="1" w:val="04A0"/>
      </w:tblPr>
      <w:tblGrid>
        <w:gridCol w:w="2160"/>
        <w:gridCol w:w="2160"/>
        <w:gridCol w:w="2160"/>
        <w:gridCol w:w="2160"/>
      </w:tblGrid>
      <w:tr>
        <w:trPr>
          <w:tblHeader w:val="true"/>
        </w:trPr>
        <w:tc>
          <w:tcPr>
            <w:tcW w:type="dxa" w:w="2160"/>
            <w:shd w:val="clear" w:color="auto" w:fill="2F5D62"/>
          </w:tcPr>
          <w:p>
            <w:r>
              <w:rPr>
                <w:b/>
                <w:color w:val="FFFFFF"/>
                <w:sz w:val="19"/>
              </w:rPr>
              <w:t>Segmento</w:t>
            </w:r>
          </w:p>
        </w:tc>
        <w:tc>
          <w:tcPr>
            <w:tcW w:type="dxa" w:w="2160"/>
            <w:shd w:val="clear" w:color="auto" w:fill="2F5D62"/>
          </w:tcPr>
          <w:p>
            <w:r>
              <w:rPr>
                <w:b/>
                <w:color w:val="FFFFFF"/>
                <w:sz w:val="19"/>
              </w:rPr>
              <w:t>Quota misurata</w:t>
            </w:r>
          </w:p>
        </w:tc>
        <w:tc>
          <w:tcPr>
            <w:tcW w:type="dxa" w:w="2160"/>
            <w:shd w:val="clear" w:color="auto" w:fill="2F5D62"/>
          </w:tcPr>
          <w:p>
            <w:r>
              <w:rPr>
                <w:b/>
                <w:color w:val="FFFFFF"/>
                <w:sz w:val="19"/>
              </w:rPr>
              <w:t>Messaggio chiave</w:t>
            </w:r>
          </w:p>
        </w:tc>
        <w:tc>
          <w:tcPr>
            <w:tcW w:type="dxa" w:w="2160"/>
            <w:shd w:val="clear" w:color="auto" w:fill="2F5D62"/>
          </w:tcPr>
          <w:p>
            <w:r>
              <w:rPr>
                <w:b/>
                <w:color w:val="FFFFFF"/>
                <w:sz w:val="19"/>
              </w:rPr>
              <w:t>Finestra di prenotazione (contesto)</w:t>
            </w:r>
          </w:p>
        </w:tc>
      </w:tr>
      <w:tr>
        <w:tc>
          <w:tcPr>
            <w:tcW w:type="dxa" w:w="2160"/>
          </w:tcPr>
          <w:p>
            <w:r>
              <w:rPr>
                <w:sz w:val="19"/>
              </w:rPr>
              <w:t>Coppia relax/spa</w:t>
            </w:r>
          </w:p>
        </w:tc>
        <w:tc>
          <w:tcPr>
            <w:tcW w:type="dxa" w:w="2160"/>
          </w:tcPr>
          <w:p>
            <w:r>
              <w:rPr>
                <w:sz w:val="19"/>
              </w:rPr>
              <w:t>~50%</w:t>
            </w:r>
          </w:p>
        </w:tc>
        <w:tc>
          <w:tcPr>
            <w:tcW w:type="dxa" w:w="2160"/>
          </w:tcPr>
          <w:p>
            <w:r>
              <w:rPr>
                <w:sz w:val="19"/>
              </w:rPr>
              <w:t>Percorso benessere di oltre 500 mq con STARPOOL come rito di coppia, non accessorio: spa, Dream Luxury Suites panoramiche, vicinanza a Viale Ceccarini per la sera</w:t>
            </w:r>
          </w:p>
        </w:tc>
        <w:tc>
          <w:tcPr>
            <w:tcW w:type="dxa" w:w="2160"/>
          </w:tcPr>
          <w:p>
            <w:r>
              <w:rPr>
                <w:sz w:val="19"/>
              </w:rPr>
              <w:t>Da spontanea/city-break a pianificata per occasioni speciali; per l'estate la domanda italiana si muove con largo anticipo, con una coda last-minute vicino alle date</w:t>
            </w:r>
          </w:p>
        </w:tc>
      </w:tr>
      <w:tr>
        <w:tc>
          <w:tcPr>
            <w:tcW w:type="dxa" w:w="2160"/>
            <w:shd w:val="clear" w:color="auto" w:fill="EEF2F1"/>
          </w:tcPr>
          <w:p>
            <w:r>
              <w:rPr>
                <w:sz w:val="19"/>
              </w:rPr>
              <w:t>Famiglia con bambini</w:t>
            </w:r>
          </w:p>
        </w:tc>
        <w:tc>
          <w:tcPr>
            <w:tcW w:type="dxa" w:w="2160"/>
            <w:shd w:val="clear" w:color="auto" w:fill="EEF2F1"/>
          </w:tcPr>
          <w:p>
            <w:r>
              <w:rPr>
                <w:sz w:val="19"/>
              </w:rPr>
              <w:t>~27-30%</w:t>
            </w:r>
          </w:p>
        </w:tc>
        <w:tc>
          <w:tcPr>
            <w:tcW w:type="dxa" w:w="2160"/>
            <w:shd w:val="clear" w:color="auto" w:fill="EEF2F1"/>
          </w:tcPr>
          <w:p>
            <w:r>
              <w:rPr>
                <w:sz w:val="19"/>
              </w:rPr>
              <w:t>Formula famiglia con piano bambini per fascia d'età, mezza pensione/pensione completa/all inclusive, telo mare e ombrellone inclusi in spiaggia, piscina interna riservata la domenica mattina</w:t>
            </w:r>
          </w:p>
        </w:tc>
        <w:tc>
          <w:tcPr>
            <w:tcW w:type="dxa" w:w="2160"/>
            <w:shd w:val="clear" w:color="auto" w:fill="EEF2F1"/>
          </w:tcPr>
          <w:p>
            <w:r>
              <w:rPr>
                <w:sz w:val="19"/>
              </w:rPr>
              <w:t>Pianificazione lunga per l'alta stagione, spesso con largo anticipo; i mercati esteri (DACH in primis) prenotano ancora prima e presidiano le spalle di stagione</w:t>
            </w:r>
          </w:p>
        </w:tc>
      </w:tr>
      <w:tr>
        <w:tc>
          <w:tcPr>
            <w:tcW w:type="dxa" w:w="2160"/>
          </w:tcPr>
          <w:p>
            <w:r>
              <w:rPr>
                <w:sz w:val="19"/>
              </w:rPr>
              <w:t>Business/MICE</w:t>
            </w:r>
          </w:p>
        </w:tc>
        <w:tc>
          <w:tcPr>
            <w:tcW w:type="dxa" w:w="2160"/>
          </w:tcPr>
          <w:p>
            <w:r>
              <w:rPr>
                <w:sz w:val="19"/>
              </w:rPr>
              <w:t>~15-20%</w:t>
            </w:r>
          </w:p>
        </w:tc>
        <w:tc>
          <w:tcPr>
            <w:tcW w:type="dxa" w:w="2160"/>
          </w:tcPr>
          <w:p>
            <w:r>
              <w:rPr>
                <w:sz w:val="19"/>
              </w:rPr>
              <w:t>Sala Maestrale modulare, Business Fidelity Card, cene e coffee break aziendali, prossimità a Palazzo dei Congressi e quartiere fieristico di Rimini</w:t>
            </w:r>
          </w:p>
        </w:tc>
        <w:tc>
          <w:tcPr>
            <w:tcW w:type="dxa" w:w="2160"/>
          </w:tcPr>
          <w:p>
            <w:r>
              <w:rPr>
                <w:sz w:val="19"/>
              </w:rPr>
              <w:t>Domanda concentrata su finestre fieristiche e congressuali che ricadono nel periodo di apertura; il resto del calendario fieristico resta fuori portata per una struttura stagionale</w:t>
            </w:r>
          </w:p>
        </w:tc>
      </w:tr>
    </w:tbl>
    <w:p>
      <w:pPr>
        <w:spacing w:after="160"/>
      </w:pPr>
    </w:p>
    <w:p>
      <w:pPr>
        <w:spacing w:before="160" w:after="40"/>
      </w:pPr>
      <w:r>
        <w:rPr>
          <w:b/>
          <w:color w:val="2F5D62"/>
          <w:sz w:val="24"/>
        </w:rPr>
        <w:t>Obiettivi misurabili</w:t>
      </w:r>
    </w:p>
    <w:p>
      <w:pPr>
        <w:pStyle w:val="ListBullet"/>
      </w:pPr>
      <w:r>
        <w:t>Costruire per ciascun segmento prioritario (coppia, famiglia, business/MICE) un messaggio-guida coerente con il lessico di prodotto, da declinare su sito, contenuti e canali social entro l'avvio della prossima comunicazione stagionale</w:t>
      </w:r>
    </w:p>
    <w:p>
      <w:pPr>
        <w:pStyle w:val="ListBullet"/>
      </w:pPr>
      <w:r>
        <w:t>Impostare la raccolta della prova sociale family-specific come processo strutturato (v. sez. 06 per il KPI di dettaglio), a supporto del gap già identificato sulla densità lessicale family</w:t>
      </w:r>
    </w:p>
    <w:p>
      <w:pPr>
        <w:pStyle w:val="ListBullet"/>
      </w:pPr>
      <w:r>
        <w:t>Definire un calendario di attivazione dei tre messaggi-segmento allineato alle finestre di prenotazione narrative sopra indicate, senza sovrapporle al lavoro di cantiere del periodo di chiusura (v. roadmap sez. 05)</w:t>
      </w:r>
    </w:p>
    <w:p>
      <w:pPr>
        <w:spacing w:before="160" w:after="40"/>
      </w:pPr>
      <w:r>
        <w:rPr>
          <w:b/>
          <w:color w:val="2F5D62"/>
          <w:sz w:val="24"/>
        </w:rPr>
        <w:t>Azioni</w:t>
      </w:r>
    </w:p>
    <w:p>
      <w:r>
        <w:t>La coppia relax/spa resta il segmento più consistente e il più coerente con l'asset distintivo della struttura: se il percorso benessere è già il secondo tema più citato nelle recensioni, il messaggio per questo pubblico deve smettere di vendere 'una camera con vista' e vendere l'esperienza spa come rito di coppia, abbinando le Dream Luxury Suites e la passeggiata serale su Viale Ceccarini come naturale prosecuzione della giornata. Il contenuto (pagina benessere, social, email pre-soggiorno) va scritto per rispondere a chi cerca 'weekend romantico spa Riccione', non solo per chi già conosce il nome dell'hotel.</w:t>
      </w:r>
    </w:p>
    <w:p>
      <w:r>
        <w:t>La famiglia con bambini è il segmento dove il lessico di prodotto conta di più e oggi manca quasi del tutto nella prova sociale raccolta. Il messaggio deve nominare esplicitamente la formula (mezza pensione, pensione completa o all inclusive), il piano famiglia con sconti per fascia d'età, l'ombrellone e i lettini inclusi in spiaggia, il menu bambini e la piscina interna riservata la domenica mattina: sono questi i dettagli che un genitore cerca prima di scegliere, e la loro assenza nei contenuti attuali lascia il campo a chi li nomina per primo. La leva di prenotazione anticipata (book early, sconto bambini gratis nelle settimane di spalla) va abbinata a questo messaggio per orientare la domanda familiare verso giugno e settembre, non solo verso il cuore dell'estate.</w:t>
      </w:r>
    </w:p>
    <w:p>
      <w:r>
        <w:t>Il business/MICE ha già gli asset (sala Maestrale, Business Fidelity Card, prossimità a Palazzo dei Congressi e fiera di Rimini) ma il messaggio resta debole se non è ancorato alle finestre fieristiche che cadono dentro il periodo di apertura: per queste, il messaggio corretto è pagina-evento con offerta dedicata, navetta e tariffa business, comunicati con congruo anticipo rispetto alla data della fiera o del congresso. Fuori da queste finestre, il segmento resta strutturalmente fuori scope per una struttura stagionale e non merita investimento comunicativo dedicato.</w:t>
      </w:r>
    </w:p>
    <w:p>
      <w:pPr>
        <w:spacing w:before="160" w:after="40"/>
      </w:pPr>
      <w:r>
        <w:rPr>
          <w:b/>
          <w:color w:val="2F5D62"/>
          <w:sz w:val="24"/>
        </w:rPr>
        <w:t>KPI</w:t>
      </w:r>
    </w:p>
    <w:p>
      <w:r>
        <w:t>I KPI numerici di controllo per ciascun segmento (prova sociale family, presidio organico spa, copertura fiere) sono consolidati in sez. 06 — Misurazione, per evitare duplicazioni.</w:t>
      </w:r>
    </w:p>
    <w:p>
      <w:pPr>
        <w:spacing w:before="160" w:after="40"/>
      </w:pPr>
      <w:r>
        <w:rPr>
          <w:b/>
          <w:color w:val="2F5D62"/>
          <w:sz w:val="24"/>
        </w:rPr>
        <w:t>Note esecutive</w:t>
      </w:r>
    </w:p>
    <w:p>
      <w:pPr>
        <w:pStyle w:val="ListBullet"/>
      </w:pPr>
      <w:r>
        <w:t>Ogni messaggio-segmento va adattato in tedesco con qualità linguistica nativa prima di essere spinto sul mercato DACH, coerente con la quota di recensioni in lingua tedesca già rilevata e con la propensione di quel mercato a prenotare con largo anticipo</w:t>
      </w:r>
    </w:p>
    <w:p>
      <w:pPr>
        <w:pStyle w:val="ListBullet"/>
      </w:pPr>
      <w:r>
        <w:t>Il messaggio family deve comparire in modo identico su sito, listino offerte e richiesta di recensione post-soggiorno, per costruire nel tempo la prova sociale oggi mancante</w:t>
      </w:r>
    </w:p>
    <w:p>
      <w:pPr>
        <w:pStyle w:val="ListBullet"/>
      </w:pPr>
      <w:r>
        <w:t>Il messaggio business va attivato solo in corrispondenza delle finestre fieristiche interne al periodo di apertura, secondo il calendario di sez. 05</w:t>
      </w:r>
    </w:p>
    <w:p>
      <w:r>
        <w:br w:type="page"/>
      </w:r>
    </w:p>
    <w:p>
      <w:pPr>
        <w:spacing w:after="0"/>
      </w:pPr>
      <w:r>
        <w:rPr>
          <w:b/>
          <w:color w:val="2F5D62"/>
          <w:sz w:val="18"/>
        </w:rPr>
        <w:t>SEZIONE 03</w:t>
      </w:r>
    </w:p>
    <w:p>
      <w:pPr>
        <w:spacing w:after="200"/>
        <w:pBdr>
          <w:bottom w:val="single" w:sz="18" w:space="6" w:color="2F5D62"/>
        </w:pBdr>
      </w:pPr>
      <w:r>
        <w:rPr>
          <w:b/>
          <w:color w:val="1A1A2E"/>
          <w:sz w:val="40"/>
        </w:rPr>
        <w:t>Strategia di canale (core)</w:t>
      </w:r>
    </w:p>
    <w:p>
      <w:pPr>
        <w:spacing w:before="160" w:after="40"/>
      </w:pPr>
      <w:r>
        <w:rPr>
          <w:b/>
          <w:color w:val="2F5D62"/>
          <w:sz w:val="24"/>
        </w:rPr>
        <w:t>Matrice dei canali (decision record — verità del piano)</w:t>
      </w:r>
    </w:p>
    <w:tbl>
      <w:tblPr>
        <w:tblStyle w:val="TableGrid"/>
        <w:tblW w:type="auto" w:w="0"/>
        <w:jc w:val="center"/>
        <w:tblLook w:firstColumn="1" w:firstRow="1" w:lastColumn="0" w:lastRow="0" w:noHBand="0" w:noVBand="1" w:val="04A0"/>
      </w:tblPr>
      <w:tblGrid>
        <w:gridCol w:w="1728"/>
        <w:gridCol w:w="1728"/>
        <w:gridCol w:w="1728"/>
        <w:gridCol w:w="1728"/>
        <w:gridCol w:w="1728"/>
      </w:tblGrid>
      <w:tr>
        <w:trPr>
          <w:tblHeader w:val="true"/>
        </w:trPr>
        <w:tc>
          <w:tcPr>
            <w:tcW w:type="dxa" w:w="1728"/>
            <w:shd w:val="clear" w:color="auto" w:fill="2F5D62"/>
          </w:tcPr>
          <w:p>
            <w:r>
              <w:rPr>
                <w:b/>
                <w:color w:val="FFFFFF"/>
                <w:sz w:val="19"/>
              </w:rPr>
              <w:t>Canale</w:t>
            </w:r>
          </w:p>
        </w:tc>
        <w:tc>
          <w:tcPr>
            <w:tcW w:type="dxa" w:w="1728"/>
            <w:shd w:val="clear" w:color="auto" w:fill="2F5D62"/>
          </w:tcPr>
          <w:p>
            <w:r>
              <w:rPr>
                <w:b/>
                <w:color w:val="FFFFFF"/>
                <w:sz w:val="19"/>
              </w:rPr>
              <w:t>Verdetto</w:t>
            </w:r>
          </w:p>
        </w:tc>
        <w:tc>
          <w:tcPr>
            <w:tcW w:type="dxa" w:w="1728"/>
            <w:shd w:val="clear" w:color="auto" w:fill="2F5D62"/>
          </w:tcPr>
          <w:p>
            <w:r>
              <w:rPr>
                <w:b/>
                <w:color w:val="FFFFFF"/>
                <w:sz w:val="19"/>
              </w:rPr>
              <w:t>Priorità</w:t>
            </w:r>
          </w:p>
        </w:tc>
        <w:tc>
          <w:tcPr>
            <w:tcW w:type="dxa" w:w="1728"/>
            <w:shd w:val="clear" w:color="auto" w:fill="2F5D62"/>
          </w:tcPr>
          <w:p>
            <w:r>
              <w:rPr>
                <w:b/>
                <w:color w:val="FFFFFF"/>
                <w:sz w:val="19"/>
              </w:rPr>
              <w:t>Motivo</w:t>
            </w:r>
          </w:p>
        </w:tc>
        <w:tc>
          <w:tcPr>
            <w:tcW w:type="dxa" w:w="1728"/>
            <w:shd w:val="clear" w:color="auto" w:fill="2F5D62"/>
          </w:tcPr>
          <w:p>
            <w:r>
              <w:rPr>
                <w:b/>
                <w:color w:val="FFFFFF"/>
                <w:sz w:val="19"/>
              </w:rPr>
              <w:t>Dipendenze</w:t>
            </w:r>
          </w:p>
        </w:tc>
      </w:tr>
      <w:tr>
        <w:tc>
          <w:tcPr>
            <w:tcW w:type="dxa" w:w="1728"/>
          </w:tcPr>
          <w:p>
            <w:r>
              <w:rPr>
                <w:sz w:val="19"/>
              </w:rPr>
              <w:t>SEO organico</w:t>
            </w:r>
          </w:p>
        </w:tc>
        <w:tc>
          <w:tcPr>
            <w:tcW w:type="dxa" w:w="1728"/>
          </w:tcPr>
          <w:p>
            <w:r>
              <w:rPr>
                <w:sz w:val="19"/>
              </w:rPr>
              <w:t>Attivare (prioritario)</w:t>
            </w:r>
          </w:p>
        </w:tc>
        <w:tc>
          <w:tcPr>
            <w:tcW w:type="dxa" w:w="1728"/>
          </w:tcPr>
          <w:p>
            <w:r>
              <w:rPr>
                <w:sz w:val="19"/>
              </w:rPr>
              <w:t>alta</w:t>
            </w:r>
          </w:p>
        </w:tc>
        <w:tc>
          <w:tcPr>
            <w:tcW w:type="dxa" w:w="1728"/>
          </w:tcPr>
          <w:p>
            <w:r>
              <w:rPr>
                <w:sz w:val="19"/>
              </w:rPr>
              <w:t>33 keyword su 33 in gap (100%); 83740 ricerche/mese di domanda non presidiata. On-site: mancano dati strutturati per i rich result (breadcrumb, faq).</w:t>
            </w:r>
          </w:p>
        </w:tc>
        <w:tc>
          <w:tcPr>
            <w:tcW w:type="dxa" w:w="1728"/>
          </w:tcPr>
          <w:p>
            <w:r>
              <w:rPr>
                <w:sz w:val="19"/>
              </w:rPr>
              <w:t>—</w:t>
            </w:r>
          </w:p>
        </w:tc>
      </w:tr>
      <w:tr>
        <w:tc>
          <w:tcPr>
            <w:tcW w:type="dxa" w:w="1728"/>
            <w:shd w:val="clear" w:color="auto" w:fill="EEF2F1"/>
          </w:tcPr>
          <w:p>
            <w:r>
              <w:rPr>
                <w:sz w:val="19"/>
              </w:rPr>
              <w:t>Search advertising (Google Ads)</w:t>
            </w:r>
          </w:p>
        </w:tc>
        <w:tc>
          <w:tcPr>
            <w:tcW w:type="dxa" w:w="1728"/>
            <w:shd w:val="clear" w:color="auto" w:fill="EEF2F1"/>
          </w:tcPr>
          <w:p>
            <w:r>
              <w:rPr>
                <w:sz w:val="19"/>
              </w:rPr>
              <w:t>Attivare (stagionale)</w:t>
            </w:r>
          </w:p>
        </w:tc>
        <w:tc>
          <w:tcPr>
            <w:tcW w:type="dxa" w:w="1728"/>
            <w:shd w:val="clear" w:color="auto" w:fill="EEF2F1"/>
          </w:tcPr>
          <w:p>
            <w:r>
              <w:rPr>
                <w:sz w:val="19"/>
              </w:rPr>
              <w:t>media</w:t>
            </w:r>
          </w:p>
        </w:tc>
        <w:tc>
          <w:tcPr>
            <w:tcW w:type="dxa" w:w="1728"/>
            <w:shd w:val="clear" w:color="auto" w:fill="EEF2F1"/>
          </w:tcPr>
          <w:p>
            <w:r>
              <w:rPr>
                <w:sz w:val="19"/>
              </w:rPr>
              <w:t>79% della domanda misurata è ad alta competizione: la search advertising presidia le query commerciali dove l'organico non arriva in tempo, su doppia finestra (anticipo di mercato + sotto-data).</w:t>
            </w:r>
          </w:p>
        </w:tc>
        <w:tc>
          <w:tcPr>
            <w:tcW w:type="dxa" w:w="1728"/>
            <w:shd w:val="clear" w:color="auto" w:fill="EEF2F1"/>
          </w:tcPr>
          <w:p>
            <w:r>
              <w:rPr>
                <w:sz w:val="19"/>
              </w:rPr>
              <w:t>—</w:t>
            </w:r>
          </w:p>
        </w:tc>
      </w:tr>
      <w:tr>
        <w:tc>
          <w:tcPr>
            <w:tcW w:type="dxa" w:w="1728"/>
          </w:tcPr>
          <w:p>
            <w:r>
              <w:rPr>
                <w:sz w:val="19"/>
              </w:rPr>
              <w:t>Metasearch (Google Hotel Ads, Trivago)</w:t>
            </w:r>
          </w:p>
        </w:tc>
        <w:tc>
          <w:tcPr>
            <w:tcW w:type="dxa" w:w="1728"/>
          </w:tcPr>
          <w:p>
            <w:r>
              <w:rPr>
                <w:sz w:val="19"/>
              </w:rPr>
              <w:t>Attivare</w:t>
            </w:r>
          </w:p>
        </w:tc>
        <w:tc>
          <w:tcPr>
            <w:tcW w:type="dxa" w:w="1728"/>
          </w:tcPr>
          <w:p>
            <w:r>
              <w:rPr>
                <w:sz w:val="19"/>
              </w:rPr>
              <w:t>media</w:t>
            </w:r>
          </w:p>
        </w:tc>
        <w:tc>
          <w:tcPr>
            <w:tcW w:type="dxa" w:w="1728"/>
          </w:tcPr>
          <w:p>
            <w:r>
              <w:rPr>
                <w:sz w:val="19"/>
              </w:rPr>
              <w:t>Parità tariffaria confermata: il metasearch può recuperare prenotazione diretta.</w:t>
            </w:r>
          </w:p>
        </w:tc>
        <w:tc>
          <w:tcPr>
            <w:tcW w:type="dxa" w:w="1728"/>
          </w:tcPr>
          <w:p>
            <w:r>
              <w:rPr>
                <w:sz w:val="19"/>
              </w:rPr>
              <w:t>booking_diretto, rate_parity</w:t>
            </w:r>
          </w:p>
        </w:tc>
      </w:tr>
      <w:tr>
        <w:tc>
          <w:tcPr>
            <w:tcW w:type="dxa" w:w="1728"/>
            <w:shd w:val="clear" w:color="auto" w:fill="EEF2F1"/>
          </w:tcPr>
          <w:p>
            <w:r>
              <w:rPr>
                <w:sz w:val="19"/>
              </w:rPr>
              <w:t>Sito &amp; booking diretto</w:t>
            </w:r>
          </w:p>
        </w:tc>
        <w:tc>
          <w:tcPr>
            <w:tcW w:type="dxa" w:w="1728"/>
            <w:shd w:val="clear" w:color="auto" w:fill="EEF2F1"/>
          </w:tcPr>
          <w:p>
            <w:r>
              <w:rPr>
                <w:sz w:val="19"/>
              </w:rPr>
              <w:t>Attivare (prioritario)</w:t>
            </w:r>
          </w:p>
        </w:tc>
        <w:tc>
          <w:tcPr>
            <w:tcW w:type="dxa" w:w="1728"/>
            <w:shd w:val="clear" w:color="auto" w:fill="EEF2F1"/>
          </w:tcPr>
          <w:p>
            <w:r>
              <w:rPr>
                <w:sz w:val="19"/>
              </w:rPr>
              <w:t>alta</w:t>
            </w:r>
          </w:p>
        </w:tc>
        <w:tc>
          <w:tcPr>
            <w:tcW w:type="dxa" w:w="1728"/>
            <w:shd w:val="clear" w:color="auto" w:fill="EEF2F1"/>
          </w:tcPr>
          <w:p>
            <w:r>
              <w:rPr>
                <w:sz w:val="19"/>
              </w:rPr>
              <w:t>Il canale diretto è l'obiettivo strutturale: manca il markup Offer/prezzi e il booking engine non è dichiarato — abilitare la conversione diretta (schema Offer, motore di prenotazione). Partire OTTIMIZZANDO la pagina offerte già esistente (https://www.ambasciatorihotel.net/offerte/), non creandone una nuova. Il listino va chiuso entro nov per aprire le vendite ai mercati esteri.</w:t>
            </w:r>
          </w:p>
        </w:tc>
        <w:tc>
          <w:tcPr>
            <w:tcW w:type="dxa" w:w="1728"/>
            <w:shd w:val="clear" w:color="auto" w:fill="EEF2F1"/>
          </w:tcPr>
          <w:p>
            <w:r>
              <w:rPr>
                <w:sz w:val="19"/>
              </w:rPr>
              <w:t>—</w:t>
            </w:r>
          </w:p>
        </w:tc>
      </w:tr>
      <w:tr>
        <w:tc>
          <w:tcPr>
            <w:tcW w:type="dxa" w:w="1728"/>
          </w:tcPr>
          <w:p>
            <w:r>
              <w:rPr>
                <w:sz w:val="19"/>
              </w:rPr>
              <w:t>OTA / distribuzione</w:t>
            </w:r>
          </w:p>
        </w:tc>
        <w:tc>
          <w:tcPr>
            <w:tcW w:type="dxa" w:w="1728"/>
          </w:tcPr>
          <w:p>
            <w:r>
              <w:rPr>
                <w:sz w:val="19"/>
              </w:rPr>
              <w:t>Mantenere</w:t>
            </w:r>
          </w:p>
        </w:tc>
        <w:tc>
          <w:tcPr>
            <w:tcW w:type="dxa" w:w="1728"/>
          </w:tcPr>
          <w:p>
            <w:r>
              <w:rPr>
                <w:sz w:val="19"/>
              </w:rPr>
              <w:t>bassa</w:t>
            </w:r>
          </w:p>
        </w:tc>
        <w:tc>
          <w:tcPr>
            <w:tcW w:type="dxa" w:w="1728"/>
          </w:tcPr>
          <w:p>
            <w:r>
              <w:rPr>
                <w:sz w:val="19"/>
              </w:rPr>
              <w:t>Distribuzione OTA da governare per il billboard effect: mantenere presenza e visibilità, spostando progressivamente quota sul canale diretto quando la parità regge.</w:t>
            </w:r>
          </w:p>
        </w:tc>
        <w:tc>
          <w:tcPr>
            <w:tcW w:type="dxa" w:w="1728"/>
          </w:tcPr>
          <w:p>
            <w:r>
              <w:rPr>
                <w:sz w:val="19"/>
              </w:rPr>
              <w:t>booking_diretto, rate_parity</w:t>
            </w:r>
          </w:p>
        </w:tc>
      </w:tr>
      <w:tr>
        <w:tc>
          <w:tcPr>
            <w:tcW w:type="dxa" w:w="1728"/>
            <w:shd w:val="clear" w:color="auto" w:fill="EEF2F1"/>
          </w:tcPr>
          <w:p>
            <w:r>
              <w:rPr>
                <w:sz w:val="19"/>
              </w:rPr>
              <w:t>Social organico</w:t>
            </w:r>
          </w:p>
        </w:tc>
        <w:tc>
          <w:tcPr>
            <w:tcW w:type="dxa" w:w="1728"/>
            <w:shd w:val="clear" w:color="auto" w:fill="EEF2F1"/>
          </w:tcPr>
          <w:p>
            <w:r>
              <w:rPr>
                <w:sz w:val="19"/>
              </w:rPr>
              <w:t>Rafforzare</w:t>
            </w:r>
          </w:p>
        </w:tc>
        <w:tc>
          <w:tcPr>
            <w:tcW w:type="dxa" w:w="1728"/>
            <w:shd w:val="clear" w:color="auto" w:fill="EEF2F1"/>
          </w:tcPr>
          <w:p>
            <w:r>
              <w:rPr>
                <w:sz w:val="19"/>
              </w:rPr>
              <w:t>media</w:t>
            </w:r>
          </w:p>
        </w:tc>
        <w:tc>
          <w:tcPr>
            <w:tcW w:type="dxa" w:w="1728"/>
            <w:shd w:val="clear" w:color="auto" w:fill="EEF2F1"/>
          </w:tcPr>
          <w:p>
            <w:r>
              <w:rPr>
                <w:sz w:val="19"/>
              </w:rPr>
              <w:t>9 asset visuali forti nel profilo (piscina/benessere/fronte mare/terrazza): raccogliere contenuto in stagione e potenziare la presenza organica.</w:t>
            </w:r>
          </w:p>
        </w:tc>
        <w:tc>
          <w:tcPr>
            <w:tcW w:type="dxa" w:w="1728"/>
            <w:shd w:val="clear" w:color="auto" w:fill="EEF2F1"/>
          </w:tcPr>
          <w:p>
            <w:r>
              <w:rPr>
                <w:sz w:val="19"/>
              </w:rPr>
              <w:t>—</w:t>
            </w:r>
          </w:p>
        </w:tc>
      </w:tr>
      <w:tr>
        <w:tc>
          <w:tcPr>
            <w:tcW w:type="dxa" w:w="1728"/>
          </w:tcPr>
          <w:p>
            <w:r>
              <w:rPr>
                <w:sz w:val="19"/>
              </w:rPr>
              <w:t>Social advertising</w:t>
            </w:r>
          </w:p>
        </w:tc>
        <w:tc>
          <w:tcPr>
            <w:tcW w:type="dxa" w:w="1728"/>
          </w:tcPr>
          <w:p>
            <w:r>
              <w:rPr>
                <w:sz w:val="19"/>
              </w:rPr>
              <w:t>Mantenere</w:t>
            </w:r>
          </w:p>
        </w:tc>
        <w:tc>
          <w:tcPr>
            <w:tcW w:type="dxa" w:w="1728"/>
          </w:tcPr>
          <w:p>
            <w:r>
              <w:rPr>
                <w:sz w:val="19"/>
              </w:rPr>
              <w:t>bassa</w:t>
            </w:r>
          </w:p>
        </w:tc>
        <w:tc>
          <w:tcPr>
            <w:tcW w:type="dxa" w:w="1728"/>
          </w:tcPr>
          <w:p>
            <w:r>
              <w:rPr>
                <w:sz w:val="19"/>
              </w:rPr>
              <w:t>Advertising social da attivare su segmenti e finestre stagionali definite: finestra ancorata al picco reale.</w:t>
            </w:r>
          </w:p>
        </w:tc>
        <w:tc>
          <w:tcPr>
            <w:tcW w:type="dxa" w:w="1728"/>
          </w:tcPr>
          <w:p>
            <w:r>
              <w:rPr>
                <w:sz w:val="19"/>
              </w:rPr>
              <w:t>—</w:t>
            </w:r>
          </w:p>
        </w:tc>
      </w:tr>
      <w:tr>
        <w:tc>
          <w:tcPr>
            <w:tcW w:type="dxa" w:w="1728"/>
            <w:shd w:val="clear" w:color="auto" w:fill="EEF2F1"/>
          </w:tcPr>
          <w:p>
            <w:r>
              <w:rPr>
                <w:sz w:val="19"/>
              </w:rPr>
              <w:t>Email &amp; CRM</w:t>
            </w:r>
          </w:p>
        </w:tc>
        <w:tc>
          <w:tcPr>
            <w:tcW w:type="dxa" w:w="1728"/>
            <w:shd w:val="clear" w:color="auto" w:fill="EEF2F1"/>
          </w:tcPr>
          <w:p>
            <w:r>
              <w:rPr>
                <w:sz w:val="19"/>
              </w:rPr>
              <w:t>Mantenere</w:t>
            </w:r>
          </w:p>
        </w:tc>
        <w:tc>
          <w:tcPr>
            <w:tcW w:type="dxa" w:w="1728"/>
            <w:shd w:val="clear" w:color="auto" w:fill="EEF2F1"/>
          </w:tcPr>
          <w:p>
            <w:r>
              <w:rPr>
                <w:sz w:val="19"/>
              </w:rPr>
              <w:t>bassa</w:t>
            </w:r>
          </w:p>
        </w:tc>
        <w:tc>
          <w:tcPr>
            <w:tcW w:type="dxa" w:w="1728"/>
            <w:shd w:val="clear" w:color="auto" w:fill="EEF2F1"/>
          </w:tcPr>
          <w:p>
            <w:r>
              <w:rPr>
                <w:sz w:val="19"/>
              </w:rPr>
              <w:t>Quota famiglie+coppie contenuta (37%): CRM utile ma non prioritario sul mix attuale.</w:t>
            </w:r>
          </w:p>
        </w:tc>
        <w:tc>
          <w:tcPr>
            <w:tcW w:type="dxa" w:w="1728"/>
            <w:shd w:val="clear" w:color="auto" w:fill="EEF2F1"/>
          </w:tcPr>
          <w:p>
            <w:r>
              <w:rPr>
                <w:sz w:val="19"/>
              </w:rPr>
              <w:t>—</w:t>
            </w:r>
          </w:p>
        </w:tc>
      </w:tr>
      <w:tr>
        <w:tc>
          <w:tcPr>
            <w:tcW w:type="dxa" w:w="1728"/>
          </w:tcPr>
          <w:p>
            <w:r>
              <w:rPr>
                <w:sz w:val="19"/>
              </w:rPr>
              <w:t>Reputation &amp; gestione recensioni</w:t>
            </w:r>
          </w:p>
        </w:tc>
        <w:tc>
          <w:tcPr>
            <w:tcW w:type="dxa" w:w="1728"/>
          </w:tcPr>
          <w:p>
            <w:r>
              <w:rPr>
                <w:sz w:val="19"/>
              </w:rPr>
              <w:t>Mantenere</w:t>
            </w:r>
          </w:p>
        </w:tc>
        <w:tc>
          <w:tcPr>
            <w:tcW w:type="dxa" w:w="1728"/>
          </w:tcPr>
          <w:p>
            <w:r>
              <w:rPr>
                <w:sz w:val="19"/>
              </w:rPr>
              <w:t>bassa</w:t>
            </w:r>
          </w:p>
        </w:tc>
        <w:tc>
          <w:tcPr>
            <w:tcW w:type="dxa" w:w="1728"/>
          </w:tcPr>
          <w:p>
            <w:r>
              <w:rPr>
                <w:sz w:val="19"/>
              </w:rPr>
              <w:t>Presidio reputazione da mantenere (canale trasversale al journey).</w:t>
            </w:r>
          </w:p>
        </w:tc>
        <w:tc>
          <w:tcPr>
            <w:tcW w:type="dxa" w:w="1728"/>
          </w:tcPr>
          <w:p>
            <w:r>
              <w:rPr>
                <w:sz w:val="19"/>
              </w:rPr>
              <w:t>—</w:t>
            </w:r>
          </w:p>
        </w:tc>
      </w:tr>
      <w:tr>
        <w:tc>
          <w:tcPr>
            <w:tcW w:type="dxa" w:w="1728"/>
            <w:shd w:val="clear" w:color="auto" w:fill="EEF2F1"/>
          </w:tcPr>
          <w:p>
            <w:r>
              <w:rPr>
                <w:sz w:val="19"/>
              </w:rPr>
              <w:t>AEO / assistenti AI</w:t>
            </w:r>
          </w:p>
        </w:tc>
        <w:tc>
          <w:tcPr>
            <w:tcW w:type="dxa" w:w="1728"/>
            <w:shd w:val="clear" w:color="auto" w:fill="EEF2F1"/>
          </w:tcPr>
          <w:p>
            <w:r>
              <w:rPr>
                <w:sz w:val="19"/>
              </w:rPr>
              <w:t>Mantenere</w:t>
            </w:r>
          </w:p>
        </w:tc>
        <w:tc>
          <w:tcPr>
            <w:tcW w:type="dxa" w:w="1728"/>
            <w:shd w:val="clear" w:color="auto" w:fill="EEF2F1"/>
          </w:tcPr>
          <w:p>
            <w:r>
              <w:rPr>
                <w:sz w:val="19"/>
              </w:rPr>
              <w:t>bassa</w:t>
            </w:r>
          </w:p>
        </w:tc>
        <w:tc>
          <w:tcPr>
            <w:tcW w:type="dxa" w:w="1728"/>
            <w:shd w:val="clear" w:color="auto" w:fill="EEF2F1"/>
          </w:tcPr>
          <w:p>
            <w:r>
              <w:rPr>
                <w:sz w:val="19"/>
              </w:rPr>
              <w:t>Audit AEO parziale/provvisorio (copertura provider incompleta): trattare come segnale, non come baseline consolidata.</w:t>
            </w:r>
          </w:p>
        </w:tc>
        <w:tc>
          <w:tcPr>
            <w:tcW w:type="dxa" w:w="1728"/>
            <w:shd w:val="clear" w:color="auto" w:fill="EEF2F1"/>
          </w:tcPr>
          <w:p>
            <w:r>
              <w:rPr>
                <w:sz w:val="19"/>
              </w:rPr>
              <w:t>—</w:t>
            </w:r>
          </w:p>
        </w:tc>
      </w:tr>
      <w:tr>
        <w:tc>
          <w:tcPr>
            <w:tcW w:type="dxa" w:w="1728"/>
          </w:tcPr>
          <w:p>
            <w:r>
              <w:rPr>
                <w:sz w:val="19"/>
              </w:rPr>
              <w:t>Mercato DACH (area di lingua tedesca)</w:t>
            </w:r>
          </w:p>
        </w:tc>
        <w:tc>
          <w:tcPr>
            <w:tcW w:type="dxa" w:w="1728"/>
          </w:tcPr>
          <w:p>
            <w:r>
              <w:rPr>
                <w:sz w:val="19"/>
              </w:rPr>
              <w:t>Attivare</w:t>
            </w:r>
          </w:p>
        </w:tc>
        <w:tc>
          <w:tcPr>
            <w:tcW w:type="dxa" w:w="1728"/>
          </w:tcPr>
          <w:p>
            <w:r>
              <w:rPr>
                <w:sz w:val="19"/>
              </w:rPr>
              <w:t>media</w:t>
            </w:r>
          </w:p>
        </w:tc>
        <w:tc>
          <w:tcPr>
            <w:tcW w:type="dxa" w:w="1728"/>
          </w:tcPr>
          <w:p>
            <w:r>
              <w:rPr>
                <w:sz w:val="19"/>
              </w:rPr>
              <w:t>Mercato DACH già presente: scheda HolidayCheck attiva. Il tedesco prenota con ~5 mesi di anticipo: aprire le vendite di conseguenza.</w:t>
            </w:r>
          </w:p>
        </w:tc>
        <w:tc>
          <w:tcPr>
            <w:tcW w:type="dxa" w:w="1728"/>
          </w:tcPr>
          <w:p>
            <w:r>
              <w:rPr>
                <w:sz w:val="19"/>
              </w:rPr>
              <w:t>—</w:t>
            </w:r>
          </w:p>
        </w:tc>
      </w:tr>
      <w:tr>
        <w:tc>
          <w:tcPr>
            <w:tcW w:type="dxa" w:w="1728"/>
            <w:shd w:val="clear" w:color="auto" w:fill="EEF2F1"/>
          </w:tcPr>
          <w:p>
            <w:r>
              <w:rPr>
                <w:sz w:val="19"/>
              </w:rPr>
              <w:t>Segmento business / MICE</w:t>
            </w:r>
          </w:p>
        </w:tc>
        <w:tc>
          <w:tcPr>
            <w:tcW w:type="dxa" w:w="1728"/>
            <w:shd w:val="clear" w:color="auto" w:fill="EEF2F1"/>
          </w:tcPr>
          <w:p>
            <w:r>
              <w:rPr>
                <w:sz w:val="19"/>
              </w:rPr>
              <w:t>Attivare</w:t>
            </w:r>
          </w:p>
        </w:tc>
        <w:tc>
          <w:tcPr>
            <w:tcW w:type="dxa" w:w="1728"/>
            <w:shd w:val="clear" w:color="auto" w:fill="EEF2F1"/>
          </w:tcPr>
          <w:p>
            <w:r>
              <w:rPr>
                <w:sz w:val="19"/>
              </w:rPr>
              <w:t>media</w:t>
            </w:r>
          </w:p>
        </w:tc>
        <w:tc>
          <w:tcPr>
            <w:tcW w:type="dxa" w:w="1728"/>
            <w:shd w:val="clear" w:color="auto" w:fill="EEF2F1"/>
          </w:tcPr>
          <w:p>
            <w:r>
              <w:rPr>
                <w:sz w:val="19"/>
              </w:rPr>
              <w:t>Struttura annuale con vocazione fiere/business: presidiare il calendario congressuale (piano presenza fiere) oltre alla domanda leisure.</w:t>
            </w:r>
          </w:p>
        </w:tc>
        <w:tc>
          <w:tcPr>
            <w:tcW w:type="dxa" w:w="1728"/>
            <w:shd w:val="clear" w:color="auto" w:fill="EEF2F1"/>
          </w:tcPr>
          <w:p>
            <w:r>
              <w:rPr>
                <w:sz w:val="19"/>
              </w:rPr>
              <w:t>—</w:t>
            </w:r>
          </w:p>
        </w:tc>
      </w:tr>
      <w:tr>
        <w:tc>
          <w:tcPr>
            <w:tcW w:type="dxa" w:w="1728"/>
          </w:tcPr>
          <w:p>
            <w:r>
              <w:rPr>
                <w:sz w:val="19"/>
              </w:rPr>
              <w:t>Local &amp; Google Business Profile</w:t>
            </w:r>
          </w:p>
        </w:tc>
        <w:tc>
          <w:tcPr>
            <w:tcW w:type="dxa" w:w="1728"/>
          </w:tcPr>
          <w:p>
            <w:r>
              <w:rPr>
                <w:sz w:val="19"/>
              </w:rPr>
              <w:t>Mantenere</w:t>
            </w:r>
          </w:p>
        </w:tc>
        <w:tc>
          <w:tcPr>
            <w:tcW w:type="dxa" w:w="1728"/>
          </w:tcPr>
          <w:p>
            <w:r>
              <w:rPr>
                <w:sz w:val="19"/>
              </w:rPr>
              <w:t>bassa</w:t>
            </w:r>
          </w:p>
        </w:tc>
        <w:tc>
          <w:tcPr>
            <w:tcW w:type="dxa" w:w="1728"/>
          </w:tcPr>
          <w:p>
            <w:r>
              <w:rPr>
                <w:sz w:val="19"/>
              </w:rPr>
              <w:t>Dati strutturati di attività locale presenti (con indirizzo): mantenere con gestione recensioni.</w:t>
            </w:r>
          </w:p>
        </w:tc>
        <w:tc>
          <w:tcPr>
            <w:tcW w:type="dxa" w:w="1728"/>
          </w:tcPr>
          <w:p>
            <w:r>
              <w:rPr>
                <w:sz w:val="19"/>
              </w:rPr>
              <w:t>—</w:t>
            </w:r>
          </w:p>
        </w:tc>
      </w:tr>
    </w:tbl>
    <w:p>
      <w:pPr>
        <w:spacing w:after="160"/>
      </w:pPr>
    </w:p>
    <w:p>
      <w:r>
        <w:t>La matrice fissa un'unica priorità operativa per l'Ambasciatori: costruire il presidio organico diretto prima di spingere ulteriore spesa su canali intermediati o condizionati. Il sito oggi vince solo sulla propria denominazione e resta invisibile sulle ricerche che la struttura potrebbe intercettare con il proprio posizionamento fronte mare; questo rende il diretto e la SEO/local i due fronti ad alta priorità su cui aprire il cantiere, mentre metasearch e visibilità sugli assistenti AI restano condizionati a verifiche propedeutiche che vanno risolte prima di allocare budget in modo strutturale. Le OTA non vengono sfidate: restano il canale gestito che porta base e copertura sui mercati esteri, da mantenere presidiato e coerente, non da ridurre per principio.</w:t>
      </w:r>
    </w:p>
    <w:p>
      <w:pPr>
        <w:spacing w:before="160" w:after="40"/>
      </w:pPr>
      <w:r>
        <w:rPr>
          <w:b/>
          <w:color w:val="2F5D62"/>
          <w:sz w:val="24"/>
        </w:rPr>
        <w:t>Obiettivi misurabili</w:t>
      </w:r>
    </w:p>
    <w:p>
      <w:pPr>
        <w:pStyle w:val="ListBullet"/>
      </w:pPr>
      <w:r>
        <w:t>Portare almeno le prime pagine segmento (spa, famiglia, business) a un presidio organico misurabile sulle query di gap prioritarie (v. sez. 06 per i KPI di dettaglio)</w:t>
      </w:r>
    </w:p>
    <w:p>
      <w:pPr>
        <w:pStyle w:val="ListBullet"/>
      </w:pPr>
      <w:r>
        <w:t>Completare l'audit di parità tariffaria diretto/OTA sui principali motori di comparazione come obiettivo di processo propedeutico all'investimento in metasearch</w:t>
      </w:r>
    </w:p>
    <w:p>
      <w:pPr>
        <w:pStyle w:val="ListBullet"/>
      </w:pPr>
      <w:r>
        <w:t>Ripetere l'audit di visibilità sugli assistenti AI con copertura completa sui tre principali motori conversazionali, come obiettivo di processo prima di dedicarvi budget</w:t>
      </w:r>
    </w:p>
    <w:p>
      <w:pPr>
        <w:spacing w:before="160" w:after="40"/>
      </w:pPr>
      <w:r>
        <w:rPr>
          <w:b/>
          <w:color w:val="2F5D62"/>
          <w:sz w:val="24"/>
        </w:rPr>
        <w:t>Azioni</w:t>
      </w:r>
    </w:p>
    <w:p>
      <w:r>
        <w:t>Il gap quasi totale di presidio organico non-brand, a fronte di un volume di ricerca rilevante sulla destinazione, rende prioritario impostare entro il cantiere invernale un piano di contenuti e dati strutturati sulle pagine già esistenti per spa, famiglia e business, così da intercettare la domanda che oggi finisce sui portali e sui competitor con maggiore autorità organica: l'azione concreta è arricchire ciascuna pagina segmento con contenuti fattuali estraibili (metrature, servizi, formule) e con i markup mancanti (FAQ, dati struttura locale), dando priorità alle pagine che già esistono sul sito prima di crearne di nuove.</w:t>
      </w:r>
    </w:p>
    <w:p>
      <w:r>
        <w:t>Il canale diretto beneficia di questo stesso lavoro solo se il motore di prenotazione non introduce frizione e se il prezzo esposto sui comparatori non penalizza la prenotazione diretta rispetto alle OTA: prima di aumentare la pressione promozionale sul sito proprio, va quindi condotta la verifica di parità e di fluidità del percorso di prenotazione, propedeutica a qualsiasi ulteriore investimento su questo canale.</w:t>
      </w:r>
    </w:p>
    <w:p>
      <w:r>
        <w:t>La visibilità sui motori di ricerca comparativa (metasearch) resta condizionata alla stessa verifica di parità: senza quel dato, ogni euro speso lì rischia di premiare comunque il canale intermediato. L'azione è quindi sequenziale: prima l'audit di parità, poi l'eventuale attivazione o rafforzamento della presenza su questi canali, non il contrario.</w:t>
      </w:r>
    </w:p>
    <w:p>
      <w:r>
        <w:t>Sul fronte degli assistenti conversazionali, l'esito disponibile è parziale e non consente ancora una diagnosi affidabile: l'azione corretta non è investire su questo canale ora, ma completare la misurazione con una copertura piena dei principali assistenti, per poi decidere se e come intervenire sui contenuti citabili delle pagine segmento già oggetto del lavoro SEO.</w:t>
      </w:r>
    </w:p>
    <w:p>
      <w:r>
        <w:t>Il canale social viene attivato in funzione di supporto alla prova sociale e all'ispirazione, in particolare per il segmento famiglia e per il segmento coppia orientato a spa e relax: l'azione è raccogliere e pubblicare contenuti generati dagli ospiti (foto, video, testimonianze) nei mesi di apertura, da riutilizzare nel cantiere invernale per le pagine segmento e per le campagne di comunicazione verso i mercati esteri già aperti (v. sez. 04).</w:t>
      </w:r>
    </w:p>
    <w:p>
      <w:r>
        <w:t>Sul canale OTA la priorità resta di presidio e coerenza: verificare che le schede sulle piattaforme di prenotazione riportino servizi, foto e posizionamento allineati alla realtà della struttura, senza aprire una competizione di prezzo che eroderebbe margine senza beneficio proporzionale, mantenendo questo canale nel ruolo di copertura e acquisizione sui mercati esteri meno maturi sul diretto.</w:t>
      </w:r>
    </w:p>
    <w:p>
      <w:r>
        <w:t>Per il segmento business/MICE, la presenza di pagine dedicate non ancora intercettate dalle ricerche locali suggerisce un'azione mirata e circoscritta: rafforzare il presidio sulle query locali legate a fiera e congressi e verificare i tempi di risposta alle richieste dirette, prima di valutare investimenti aggiuntivi su canali B2B dedicati.</w:t>
      </w:r>
    </w:p>
    <w:p>
      <w:pPr>
        <w:spacing w:before="160" w:after="40"/>
      </w:pPr>
      <w:r>
        <w:rPr>
          <w:b/>
          <w:color w:val="2F5D62"/>
          <w:sz w:val="24"/>
        </w:rPr>
        <w:t>KPI</w:t>
      </w:r>
    </w:p>
    <w:p>
      <w:pPr>
        <w:pStyle w:val="ListBullet"/>
      </w:pPr>
      <w:r>
        <w:t>I KPI numerici di canale (presidio organico, parità tariffaria, copertura AEO) sono raccolti in modo unitario in sez. 06 — qui si rimanda a quella sede per evitare duplicazioni.</w:t>
      </w:r>
    </w:p>
    <w:p>
      <w:pPr>
        <w:spacing w:before="160" w:after="40"/>
      </w:pPr>
      <w:r>
        <w:rPr>
          <w:b/>
          <w:color w:val="2F5D62"/>
          <w:sz w:val="24"/>
        </w:rPr>
        <w:t>Note esecutive</w:t>
      </w:r>
    </w:p>
    <w:p>
      <w:pPr>
        <w:pStyle w:val="ListBullet"/>
      </w:pPr>
      <w:r>
        <w:t>L'ordine di intervento non è arbitrario: prima il presidio organico e la verifica di parità/frizione sul diretto, poi l'eventuale spinta su metasearch e assistenti AI, che restano condizionati a quelle verifiche.</w:t>
      </w:r>
    </w:p>
    <w:p>
      <w:pPr>
        <w:pStyle w:val="ListBullet"/>
      </w:pPr>
      <w:r>
        <w:t>Le OTA non sono un canale da ridurre per principio: restano centrali per copertura e base sui mercati esteri meno maturi, e vanno gestite con presidio di coerenza, non sfidate a colpi di promozione.</w:t>
      </w:r>
    </w:p>
    <w:p>
      <w:pPr>
        <w:pStyle w:val="ListBullet"/>
      </w:pPr>
      <w:r>
        <w:t>La produzione di contenuti e prova sociale per i canali social va concentrata nei mesi di apertura, quando la struttura è viva e fotografabile, per essere poi riutilizzata nel cantiere invernale.</w:t>
      </w:r>
    </w:p>
    <w:p>
      <w:r>
        <w:br w:type="page"/>
      </w:r>
    </w:p>
    <w:p>
      <w:pPr>
        <w:spacing w:after="0"/>
      </w:pPr>
      <w:r>
        <w:rPr>
          <w:b/>
          <w:color w:val="2F5D62"/>
          <w:sz w:val="18"/>
        </w:rPr>
        <w:t>SEZIONE 04</w:t>
      </w:r>
    </w:p>
    <w:p>
      <w:pPr>
        <w:spacing w:after="200"/>
        <w:pBdr>
          <w:bottom w:val="single" w:sz="18" w:space="6" w:color="2F5D62"/>
        </w:pBdr>
      </w:pPr>
      <w:r>
        <w:rPr>
          <w:b/>
          <w:color w:val="1A1A2E"/>
          <w:sz w:val="40"/>
        </w:rPr>
        <w:t>Distribuzione &amp; mercati</w:t>
      </w:r>
    </w:p>
    <w:p>
      <w:pPr>
        <w:spacing w:before="160" w:after="40"/>
      </w:pPr>
      <w:r>
        <w:rPr>
          <w:b/>
          <w:color w:val="2F5D62"/>
          <w:sz w:val="24"/>
        </w:rPr>
        <w:t>Mercati raggiungibili per volo diretto (decision record — connettività aerea)</w:t>
      </w:r>
    </w:p>
    <w:tbl>
      <w:tblPr>
        <w:tblStyle w:val="TableGrid"/>
        <w:tblW w:type="auto" w:w="0"/>
        <w:jc w:val="center"/>
        <w:tblLook w:firstColumn="1" w:firstRow="1" w:lastColumn="0" w:lastRow="0" w:noHBand="0" w:noVBand="1" w:val="04A0"/>
      </w:tblPr>
      <w:tblGrid>
        <w:gridCol w:w="1440"/>
        <w:gridCol w:w="1440"/>
        <w:gridCol w:w="1440"/>
        <w:gridCol w:w="1440"/>
        <w:gridCol w:w="1440"/>
        <w:gridCol w:w="1440"/>
      </w:tblGrid>
      <w:tr>
        <w:trPr>
          <w:tblHeader w:val="true"/>
        </w:trPr>
        <w:tc>
          <w:tcPr>
            <w:tcW w:type="dxa" w:w="1440"/>
            <w:shd w:val="clear" w:color="auto" w:fill="2F5D62"/>
          </w:tcPr>
          <w:p>
            <w:r>
              <w:rPr>
                <w:b/>
                <w:color w:val="FFFFFF"/>
                <w:sz w:val="19"/>
              </w:rPr>
              <w:t>Mercato</w:t>
            </w:r>
          </w:p>
        </w:tc>
        <w:tc>
          <w:tcPr>
            <w:tcW w:type="dxa" w:w="1440"/>
            <w:shd w:val="clear" w:color="auto" w:fill="2F5D62"/>
          </w:tcPr>
          <w:p>
            <w:r>
              <w:rPr>
                <w:b/>
                <w:color w:val="FFFFFF"/>
                <w:sz w:val="19"/>
              </w:rPr>
              <w:t>Lingua</w:t>
            </w:r>
          </w:p>
        </w:tc>
        <w:tc>
          <w:tcPr>
            <w:tcW w:type="dxa" w:w="1440"/>
            <w:shd w:val="clear" w:color="auto" w:fill="2F5D62"/>
          </w:tcPr>
          <w:p>
            <w:r>
              <w:rPr>
                <w:b/>
                <w:color w:val="FFFFFF"/>
                <w:sz w:val="19"/>
              </w:rPr>
              <w:t>Stagionalità</w:t>
            </w:r>
          </w:p>
        </w:tc>
        <w:tc>
          <w:tcPr>
            <w:tcW w:type="dxa" w:w="1440"/>
            <w:shd w:val="clear" w:color="auto" w:fill="2F5D62"/>
          </w:tcPr>
          <w:p>
            <w:r>
              <w:rPr>
                <w:b/>
                <w:color w:val="FFFFFF"/>
                <w:sz w:val="19"/>
              </w:rPr>
              <w:t>Frequenza</w:t>
            </w:r>
          </w:p>
        </w:tc>
        <w:tc>
          <w:tcPr>
            <w:tcW w:type="dxa" w:w="1440"/>
            <w:shd w:val="clear" w:color="auto" w:fill="2F5D62"/>
          </w:tcPr>
          <w:p>
            <w:r>
              <w:rPr>
                <w:b/>
                <w:color w:val="FFFFFF"/>
                <w:sz w:val="19"/>
              </w:rPr>
              <w:t>Voli/mese</w:t>
            </w:r>
          </w:p>
        </w:tc>
        <w:tc>
          <w:tcPr>
            <w:tcW w:type="dxa" w:w="1440"/>
            <w:shd w:val="clear" w:color="auto" w:fill="2F5D62"/>
          </w:tcPr>
          <w:p>
            <w:r>
              <w:rPr>
                <w:b/>
                <w:color w:val="FFFFFF"/>
                <w:sz w:val="19"/>
              </w:rPr>
              <w:t>Prova (città · compagnia)</w:t>
            </w:r>
          </w:p>
        </w:tc>
      </w:tr>
      <w:tr>
        <w:tc>
          <w:tcPr>
            <w:tcW w:type="dxa" w:w="1440"/>
          </w:tcPr>
          <w:p>
            <w:r>
              <w:rPr>
                <w:sz w:val="19"/>
              </w:rPr>
              <w:t>United Kingdom</w:t>
            </w:r>
          </w:p>
        </w:tc>
        <w:tc>
          <w:tcPr>
            <w:tcW w:type="dxa" w:w="1440"/>
          </w:tcPr>
          <w:p>
            <w:r>
              <w:rPr>
                <w:sz w:val="19"/>
              </w:rPr>
              <w:t>inglese</w:t>
            </w:r>
          </w:p>
        </w:tc>
        <w:tc>
          <w:tcPr>
            <w:tcW w:type="dxa" w:w="1440"/>
          </w:tcPr>
          <w:p>
            <w:r>
              <w:rPr>
                <w:sz w:val="19"/>
              </w:rPr>
              <w:t>Prevalentemente stagionale (luglio→ottobre)</w:t>
            </w:r>
          </w:p>
        </w:tc>
        <w:tc>
          <w:tcPr>
            <w:tcW w:type="dxa" w:w="1440"/>
          </w:tcPr>
          <w:p>
            <w:r>
              <w:rPr>
                <w:sz w:val="19"/>
              </w:rPr>
              <w:t>giornaliero</w:t>
            </w:r>
          </w:p>
        </w:tc>
        <w:tc>
          <w:tcPr>
            <w:tcW w:type="dxa" w:w="1440"/>
          </w:tcPr>
          <w:p>
            <w:r>
              <w:rPr>
                <w:sz w:val="19"/>
              </w:rPr>
              <w:t>99</w:t>
            </w:r>
          </w:p>
        </w:tc>
        <w:tc>
          <w:tcPr>
            <w:tcW w:type="dxa" w:w="1440"/>
          </w:tcPr>
          <w:p>
            <w:r>
              <w:rPr>
                <w:sz w:val="19"/>
              </w:rPr>
              <w:t>London Stansted · Ryanair (68/mese); London Heathrow · British Airways (13/mese)</w:t>
            </w:r>
          </w:p>
        </w:tc>
      </w:tr>
      <w:tr>
        <w:tc>
          <w:tcPr>
            <w:tcW w:type="dxa" w:w="1440"/>
            <w:shd w:val="clear" w:color="auto" w:fill="EEF2F1"/>
          </w:tcPr>
          <w:p>
            <w:r>
              <w:rPr>
                <w:sz w:val="19"/>
              </w:rPr>
              <w:t>Poland (opportunità)</w:t>
            </w:r>
          </w:p>
        </w:tc>
        <w:tc>
          <w:tcPr>
            <w:tcW w:type="dxa" w:w="1440"/>
            <w:shd w:val="clear" w:color="auto" w:fill="EEF2F1"/>
          </w:tcPr>
          <w:p>
            <w:r>
              <w:rPr>
                <w:sz w:val="19"/>
              </w:rPr>
              <w:t>polacco</w:t>
            </w:r>
          </w:p>
        </w:tc>
        <w:tc>
          <w:tcPr>
            <w:tcW w:type="dxa" w:w="1440"/>
            <w:shd w:val="clear" w:color="auto" w:fill="EEF2F1"/>
          </w:tcPr>
          <w:p>
            <w:r>
              <w:rPr>
                <w:sz w:val="19"/>
              </w:rPr>
              <w:t>Prevalentemente stagionale (luglio→ottobre)</w:t>
            </w:r>
          </w:p>
        </w:tc>
        <w:tc>
          <w:tcPr>
            <w:tcW w:type="dxa" w:w="1440"/>
            <w:shd w:val="clear" w:color="auto" w:fill="EEF2F1"/>
          </w:tcPr>
          <w:p>
            <w:r>
              <w:rPr>
                <w:sz w:val="19"/>
              </w:rPr>
              <w:t>giornaliero</w:t>
            </w:r>
          </w:p>
        </w:tc>
        <w:tc>
          <w:tcPr>
            <w:tcW w:type="dxa" w:w="1440"/>
            <w:shd w:val="clear" w:color="auto" w:fill="EEF2F1"/>
          </w:tcPr>
          <w:p>
            <w:r>
              <w:rPr>
                <w:sz w:val="19"/>
              </w:rPr>
              <w:t>79</w:t>
            </w:r>
          </w:p>
        </w:tc>
        <w:tc>
          <w:tcPr>
            <w:tcW w:type="dxa" w:w="1440"/>
            <w:shd w:val="clear" w:color="auto" w:fill="EEF2F1"/>
          </w:tcPr>
          <w:p>
            <w:r>
              <w:rPr>
                <w:sz w:val="19"/>
              </w:rPr>
              <w:t>Krakow · Ryanair (41/mese); Warsaw · Wizz Air (18/mese)</w:t>
            </w:r>
          </w:p>
        </w:tc>
      </w:tr>
      <w:tr>
        <w:tc>
          <w:tcPr>
            <w:tcW w:type="dxa" w:w="1440"/>
          </w:tcPr>
          <w:p>
            <w:r>
              <w:rPr>
                <w:sz w:val="19"/>
              </w:rPr>
              <w:t>Germany</w:t>
            </w:r>
          </w:p>
        </w:tc>
        <w:tc>
          <w:tcPr>
            <w:tcW w:type="dxa" w:w="1440"/>
          </w:tcPr>
          <w:p>
            <w:r>
              <w:rPr>
                <w:sz w:val="19"/>
              </w:rPr>
              <w:t>tedesco</w:t>
            </w:r>
          </w:p>
        </w:tc>
        <w:tc>
          <w:tcPr>
            <w:tcW w:type="dxa" w:w="1440"/>
          </w:tcPr>
          <w:p>
            <w:r>
              <w:rPr>
                <w:sz w:val="19"/>
              </w:rPr>
              <w:t>Prevalentemente stagionale (luglio→ottobre)</w:t>
            </w:r>
          </w:p>
        </w:tc>
        <w:tc>
          <w:tcPr>
            <w:tcW w:type="dxa" w:w="1440"/>
          </w:tcPr>
          <w:p>
            <w:r>
              <w:rPr>
                <w:sz w:val="19"/>
              </w:rPr>
              <w:t>giornaliero</w:t>
            </w:r>
          </w:p>
        </w:tc>
        <w:tc>
          <w:tcPr>
            <w:tcW w:type="dxa" w:w="1440"/>
          </w:tcPr>
          <w:p>
            <w:r>
              <w:rPr>
                <w:sz w:val="19"/>
              </w:rPr>
              <w:t>48</w:t>
            </w:r>
          </w:p>
        </w:tc>
        <w:tc>
          <w:tcPr>
            <w:tcW w:type="dxa" w:w="1440"/>
          </w:tcPr>
          <w:p>
            <w:r>
              <w:rPr>
                <w:sz w:val="19"/>
              </w:rPr>
              <w:t>Munich · Air Dolomiti (26/mese); Cologne-Bonn · Ryanair (13/mese)</w:t>
            </w:r>
          </w:p>
        </w:tc>
      </w:tr>
      <w:tr>
        <w:tc>
          <w:tcPr>
            <w:tcW w:type="dxa" w:w="1440"/>
            <w:shd w:val="clear" w:color="auto" w:fill="EEF2F1"/>
          </w:tcPr>
          <w:p>
            <w:r>
              <w:rPr>
                <w:sz w:val="19"/>
              </w:rPr>
              <w:t>Albania (opportunità)</w:t>
            </w:r>
          </w:p>
        </w:tc>
        <w:tc>
          <w:tcPr>
            <w:tcW w:type="dxa" w:w="1440"/>
            <w:shd w:val="clear" w:color="auto" w:fill="EEF2F1"/>
          </w:tcPr>
          <w:p>
            <w:r>
              <w:rPr>
                <w:sz w:val="19"/>
              </w:rPr>
              <w:t>albanese</w:t>
            </w:r>
          </w:p>
        </w:tc>
        <w:tc>
          <w:tcPr>
            <w:tcW w:type="dxa" w:w="1440"/>
            <w:shd w:val="clear" w:color="auto" w:fill="EEF2F1"/>
          </w:tcPr>
          <w:p>
            <w:r>
              <w:rPr>
                <w:sz w:val="19"/>
              </w:rPr>
              <w:t>Prevalentemente stagionale (luglio→ottobre)</w:t>
            </w:r>
          </w:p>
        </w:tc>
        <w:tc>
          <w:tcPr>
            <w:tcW w:type="dxa" w:w="1440"/>
            <w:shd w:val="clear" w:color="auto" w:fill="EEF2F1"/>
          </w:tcPr>
          <w:p>
            <w:r>
              <w:rPr>
                <w:sz w:val="19"/>
              </w:rPr>
              <w:t>giornaliero</w:t>
            </w:r>
          </w:p>
        </w:tc>
        <w:tc>
          <w:tcPr>
            <w:tcW w:type="dxa" w:w="1440"/>
            <w:shd w:val="clear" w:color="auto" w:fill="EEF2F1"/>
          </w:tcPr>
          <w:p>
            <w:r>
              <w:rPr>
                <w:sz w:val="19"/>
              </w:rPr>
              <w:t>45</w:t>
            </w:r>
          </w:p>
        </w:tc>
        <w:tc>
          <w:tcPr>
            <w:tcW w:type="dxa" w:w="1440"/>
            <w:shd w:val="clear" w:color="auto" w:fill="EEF2F1"/>
          </w:tcPr>
          <w:p>
            <w:r>
              <w:rPr>
                <w:sz w:val="19"/>
              </w:rPr>
              <w:t>Tirana · Wizz Air Malta (45/mese)</w:t>
            </w:r>
          </w:p>
        </w:tc>
      </w:tr>
      <w:tr>
        <w:tc>
          <w:tcPr>
            <w:tcW w:type="dxa" w:w="1440"/>
          </w:tcPr>
          <w:p>
            <w:r>
              <w:rPr>
                <w:sz w:val="19"/>
              </w:rPr>
              <w:t>Hungary (opportunità)</w:t>
            </w:r>
          </w:p>
        </w:tc>
        <w:tc>
          <w:tcPr>
            <w:tcW w:type="dxa" w:w="1440"/>
          </w:tcPr>
          <w:p>
            <w:r>
              <w:rPr>
                <w:sz w:val="19"/>
              </w:rPr>
              <w:t>ungherese</w:t>
            </w:r>
          </w:p>
        </w:tc>
        <w:tc>
          <w:tcPr>
            <w:tcW w:type="dxa" w:w="1440"/>
          </w:tcPr>
          <w:p>
            <w:r>
              <w:rPr>
                <w:sz w:val="19"/>
              </w:rPr>
              <w:t>Prevalentemente stagionale (luglio→ottobre)</w:t>
            </w:r>
          </w:p>
        </w:tc>
        <w:tc>
          <w:tcPr>
            <w:tcW w:type="dxa" w:w="1440"/>
          </w:tcPr>
          <w:p>
            <w:r>
              <w:rPr>
                <w:sz w:val="19"/>
              </w:rPr>
              <w:t>giornaliero</w:t>
            </w:r>
          </w:p>
        </w:tc>
        <w:tc>
          <w:tcPr>
            <w:tcW w:type="dxa" w:w="1440"/>
          </w:tcPr>
          <w:p>
            <w:r>
              <w:rPr>
                <w:sz w:val="19"/>
              </w:rPr>
              <w:t>35</w:t>
            </w:r>
          </w:p>
        </w:tc>
        <w:tc>
          <w:tcPr>
            <w:tcW w:type="dxa" w:w="1440"/>
          </w:tcPr>
          <w:p>
            <w:r>
              <w:rPr>
                <w:sz w:val="19"/>
              </w:rPr>
              <w:t>Budapest · Ryanair (35/mese)</w:t>
            </w:r>
          </w:p>
        </w:tc>
      </w:tr>
      <w:tr>
        <w:tc>
          <w:tcPr>
            <w:tcW w:type="dxa" w:w="1440"/>
            <w:shd w:val="clear" w:color="auto" w:fill="EEF2F1"/>
          </w:tcPr>
          <w:p>
            <w:r>
              <w:rPr>
                <w:sz w:val="19"/>
              </w:rPr>
              <w:t>Belgium (opportunità)</w:t>
            </w:r>
          </w:p>
        </w:tc>
        <w:tc>
          <w:tcPr>
            <w:tcW w:type="dxa" w:w="1440"/>
            <w:shd w:val="clear" w:color="auto" w:fill="EEF2F1"/>
          </w:tcPr>
          <w:p>
            <w:r>
              <w:rPr>
                <w:sz w:val="19"/>
              </w:rPr>
              <w:t>olandese, francese</w:t>
            </w:r>
          </w:p>
        </w:tc>
        <w:tc>
          <w:tcPr>
            <w:tcW w:type="dxa" w:w="1440"/>
            <w:shd w:val="clear" w:color="auto" w:fill="EEF2F1"/>
          </w:tcPr>
          <w:p>
            <w:r>
              <w:rPr>
                <w:sz w:val="19"/>
              </w:rPr>
              <w:t>Tutto l'anno</w:t>
            </w:r>
          </w:p>
        </w:tc>
        <w:tc>
          <w:tcPr>
            <w:tcW w:type="dxa" w:w="1440"/>
            <w:shd w:val="clear" w:color="auto" w:fill="EEF2F1"/>
          </w:tcPr>
          <w:p>
            <w:r>
              <w:rPr>
                <w:sz w:val="19"/>
              </w:rPr>
              <w:t>più volte a settimana</w:t>
            </w:r>
          </w:p>
        </w:tc>
        <w:tc>
          <w:tcPr>
            <w:tcW w:type="dxa" w:w="1440"/>
            <w:shd w:val="clear" w:color="auto" w:fill="EEF2F1"/>
          </w:tcPr>
          <w:p>
            <w:r>
              <w:rPr>
                <w:sz w:val="19"/>
              </w:rPr>
              <w:t>23</w:t>
            </w:r>
          </w:p>
        </w:tc>
        <w:tc>
          <w:tcPr>
            <w:tcW w:type="dxa" w:w="1440"/>
            <w:shd w:val="clear" w:color="auto" w:fill="EEF2F1"/>
          </w:tcPr>
          <w:p>
            <w:r>
              <w:rPr>
                <w:sz w:val="19"/>
              </w:rPr>
              <w:t>Brussels Charleroi (23/mese)</w:t>
            </w:r>
          </w:p>
        </w:tc>
      </w:tr>
      <w:tr>
        <w:tc>
          <w:tcPr>
            <w:tcW w:type="dxa" w:w="1440"/>
          </w:tcPr>
          <w:p>
            <w:r>
              <w:rPr>
                <w:sz w:val="19"/>
              </w:rPr>
              <w:t>France (opportunità)</w:t>
            </w:r>
          </w:p>
        </w:tc>
        <w:tc>
          <w:tcPr>
            <w:tcW w:type="dxa" w:w="1440"/>
          </w:tcPr>
          <w:p>
            <w:r>
              <w:rPr>
                <w:sz w:val="19"/>
              </w:rPr>
              <w:t>francese</w:t>
            </w:r>
          </w:p>
        </w:tc>
        <w:tc>
          <w:tcPr>
            <w:tcW w:type="dxa" w:w="1440"/>
          </w:tcPr>
          <w:p>
            <w:r>
              <w:rPr>
                <w:sz w:val="19"/>
              </w:rPr>
              <w:t>Prevalentemente stagionale (luglio→ottobre)</w:t>
            </w:r>
          </w:p>
        </w:tc>
        <w:tc>
          <w:tcPr>
            <w:tcW w:type="dxa" w:w="1440"/>
          </w:tcPr>
          <w:p>
            <w:r>
              <w:rPr>
                <w:sz w:val="19"/>
              </w:rPr>
              <w:t>più volte a settimana</w:t>
            </w:r>
          </w:p>
        </w:tc>
        <w:tc>
          <w:tcPr>
            <w:tcW w:type="dxa" w:w="1440"/>
          </w:tcPr>
          <w:p>
            <w:r>
              <w:rPr>
                <w:sz w:val="19"/>
              </w:rPr>
              <w:t>18</w:t>
            </w:r>
          </w:p>
        </w:tc>
        <w:tc>
          <w:tcPr>
            <w:tcW w:type="dxa" w:w="1440"/>
          </w:tcPr>
          <w:p>
            <w:r>
              <w:rPr>
                <w:sz w:val="19"/>
              </w:rPr>
              <w:t>Basel Mulhouse Freiburg · easyJet (9/mese); Paris (Orly) (9/mese)</w:t>
            </w:r>
          </w:p>
        </w:tc>
      </w:tr>
      <w:tr>
        <w:tc>
          <w:tcPr>
            <w:tcW w:type="dxa" w:w="1440"/>
            <w:shd w:val="clear" w:color="auto" w:fill="EEF2F1"/>
          </w:tcPr>
          <w:p>
            <w:r>
              <w:rPr>
                <w:sz w:val="19"/>
              </w:rPr>
              <w:t>Bulgaria (opportunità)</w:t>
            </w:r>
          </w:p>
        </w:tc>
        <w:tc>
          <w:tcPr>
            <w:tcW w:type="dxa" w:w="1440"/>
            <w:shd w:val="clear" w:color="auto" w:fill="EEF2F1"/>
          </w:tcPr>
          <w:p>
            <w:r>
              <w:rPr>
                <w:sz w:val="19"/>
              </w:rPr>
              <w:t>bulgaro</w:t>
            </w:r>
          </w:p>
        </w:tc>
        <w:tc>
          <w:tcPr>
            <w:tcW w:type="dxa" w:w="1440"/>
            <w:shd w:val="clear" w:color="auto" w:fill="EEF2F1"/>
          </w:tcPr>
          <w:p>
            <w:r>
              <w:rPr>
                <w:sz w:val="19"/>
              </w:rPr>
              <w:t>Prevalentemente stagionale (luglio→ottobre)</w:t>
            </w:r>
          </w:p>
        </w:tc>
        <w:tc>
          <w:tcPr>
            <w:tcW w:type="dxa" w:w="1440"/>
            <w:shd w:val="clear" w:color="auto" w:fill="EEF2F1"/>
          </w:tcPr>
          <w:p>
            <w:r>
              <w:rPr>
                <w:sz w:val="19"/>
              </w:rPr>
              <w:t>più volte a settimana</w:t>
            </w:r>
          </w:p>
        </w:tc>
        <w:tc>
          <w:tcPr>
            <w:tcW w:type="dxa" w:w="1440"/>
            <w:shd w:val="clear" w:color="auto" w:fill="EEF2F1"/>
          </w:tcPr>
          <w:p>
            <w:r>
              <w:rPr>
                <w:sz w:val="19"/>
              </w:rPr>
              <w:t>17</w:t>
            </w:r>
          </w:p>
        </w:tc>
        <w:tc>
          <w:tcPr>
            <w:tcW w:type="dxa" w:w="1440"/>
            <w:shd w:val="clear" w:color="auto" w:fill="EEF2F1"/>
          </w:tcPr>
          <w:p>
            <w:r>
              <w:rPr>
                <w:sz w:val="19"/>
              </w:rPr>
              <w:t>Sofia · Wizz Air (17/mese)</w:t>
            </w:r>
          </w:p>
        </w:tc>
      </w:tr>
      <w:tr>
        <w:tc>
          <w:tcPr>
            <w:tcW w:type="dxa" w:w="1440"/>
          </w:tcPr>
          <w:p>
            <w:r>
              <w:rPr>
                <w:sz w:val="19"/>
              </w:rPr>
              <w:t>Lithuania (opportunità)</w:t>
            </w:r>
          </w:p>
        </w:tc>
        <w:tc>
          <w:tcPr>
            <w:tcW w:type="dxa" w:w="1440"/>
          </w:tcPr>
          <w:p>
            <w:r>
              <w:rPr>
                <w:sz w:val="19"/>
              </w:rPr>
              <w:t>lituano</w:t>
            </w:r>
          </w:p>
        </w:tc>
        <w:tc>
          <w:tcPr>
            <w:tcW w:type="dxa" w:w="1440"/>
          </w:tcPr>
          <w:p>
            <w:r>
              <w:rPr>
                <w:sz w:val="19"/>
              </w:rPr>
              <w:t>Prevalentemente stagionale (luglio→ottobre)</w:t>
            </w:r>
          </w:p>
        </w:tc>
        <w:tc>
          <w:tcPr>
            <w:tcW w:type="dxa" w:w="1440"/>
          </w:tcPr>
          <w:p>
            <w:r>
              <w:rPr>
                <w:sz w:val="19"/>
              </w:rPr>
              <w:t>più volte a settimana</w:t>
            </w:r>
          </w:p>
        </w:tc>
        <w:tc>
          <w:tcPr>
            <w:tcW w:type="dxa" w:w="1440"/>
          </w:tcPr>
          <w:p>
            <w:r>
              <w:rPr>
                <w:sz w:val="19"/>
              </w:rPr>
              <w:t>17</w:t>
            </w:r>
          </w:p>
        </w:tc>
        <w:tc>
          <w:tcPr>
            <w:tcW w:type="dxa" w:w="1440"/>
          </w:tcPr>
          <w:p>
            <w:r>
              <w:rPr>
                <w:sz w:val="19"/>
              </w:rPr>
              <w:t>Kaunas · Ryanair (17/mese)</w:t>
            </w:r>
          </w:p>
        </w:tc>
      </w:tr>
      <w:tr>
        <w:tc>
          <w:tcPr>
            <w:tcW w:type="dxa" w:w="1440"/>
            <w:shd w:val="clear" w:color="auto" w:fill="EEF2F1"/>
          </w:tcPr>
          <w:p>
            <w:r>
              <w:rPr>
                <w:sz w:val="19"/>
              </w:rPr>
              <w:t>Luxembourg</w:t>
            </w:r>
          </w:p>
        </w:tc>
        <w:tc>
          <w:tcPr>
            <w:tcW w:type="dxa" w:w="1440"/>
            <w:shd w:val="clear" w:color="auto" w:fill="EEF2F1"/>
          </w:tcPr>
          <w:p>
            <w:r>
              <w:rPr>
                <w:sz w:val="19"/>
              </w:rPr>
              <w:t>francese, tedesco, lussemburghese</w:t>
            </w:r>
          </w:p>
        </w:tc>
        <w:tc>
          <w:tcPr>
            <w:tcW w:type="dxa" w:w="1440"/>
            <w:shd w:val="clear" w:color="auto" w:fill="EEF2F1"/>
          </w:tcPr>
          <w:p>
            <w:r>
              <w:rPr>
                <w:sz w:val="19"/>
              </w:rPr>
              <w:t>Prevalentemente stagionale (luglio→settembre)</w:t>
            </w:r>
          </w:p>
        </w:tc>
        <w:tc>
          <w:tcPr>
            <w:tcW w:type="dxa" w:w="1440"/>
            <w:shd w:val="clear" w:color="auto" w:fill="EEF2F1"/>
          </w:tcPr>
          <w:p>
            <w:r>
              <w:rPr>
                <w:sz w:val="19"/>
              </w:rPr>
              <w:t>più volte a settimana</w:t>
            </w:r>
          </w:p>
        </w:tc>
        <w:tc>
          <w:tcPr>
            <w:tcW w:type="dxa" w:w="1440"/>
            <w:shd w:val="clear" w:color="auto" w:fill="EEF2F1"/>
          </w:tcPr>
          <w:p>
            <w:r>
              <w:rPr>
                <w:sz w:val="19"/>
              </w:rPr>
              <w:t>13</w:t>
            </w:r>
          </w:p>
        </w:tc>
        <w:tc>
          <w:tcPr>
            <w:tcW w:type="dxa" w:w="1440"/>
            <w:shd w:val="clear" w:color="auto" w:fill="EEF2F1"/>
          </w:tcPr>
          <w:p>
            <w:r>
              <w:rPr>
                <w:sz w:val="19"/>
              </w:rPr>
              <w:t>Luxembourg City · Luxair (13/mese)</w:t>
            </w:r>
          </w:p>
        </w:tc>
      </w:tr>
      <w:tr>
        <w:tc>
          <w:tcPr>
            <w:tcW w:type="dxa" w:w="1440"/>
          </w:tcPr>
          <w:p>
            <w:r>
              <w:rPr>
                <w:sz w:val="19"/>
              </w:rPr>
              <w:t>Austria</w:t>
            </w:r>
          </w:p>
        </w:tc>
        <w:tc>
          <w:tcPr>
            <w:tcW w:type="dxa" w:w="1440"/>
          </w:tcPr>
          <w:p>
            <w:r>
              <w:rPr>
                <w:sz w:val="19"/>
              </w:rPr>
              <w:t>tedesco</w:t>
            </w:r>
          </w:p>
        </w:tc>
        <w:tc>
          <w:tcPr>
            <w:tcW w:type="dxa" w:w="1440"/>
          </w:tcPr>
          <w:p>
            <w:r>
              <w:rPr>
                <w:sz w:val="19"/>
              </w:rPr>
              <w:t>Prevalentemente stagionale (luglio→agosto)</w:t>
            </w:r>
          </w:p>
        </w:tc>
        <w:tc>
          <w:tcPr>
            <w:tcW w:type="dxa" w:w="1440"/>
          </w:tcPr>
          <w:p>
            <w:r>
              <w:rPr>
                <w:sz w:val="19"/>
              </w:rPr>
              <w:t>più volte a settimana</w:t>
            </w:r>
          </w:p>
        </w:tc>
        <w:tc>
          <w:tcPr>
            <w:tcW w:type="dxa" w:w="1440"/>
          </w:tcPr>
          <w:p>
            <w:r>
              <w:rPr>
                <w:sz w:val="19"/>
              </w:rPr>
              <w:t>12</w:t>
            </w:r>
          </w:p>
        </w:tc>
        <w:tc>
          <w:tcPr>
            <w:tcW w:type="dxa" w:w="1440"/>
          </w:tcPr>
          <w:p>
            <w:r>
              <w:rPr>
                <w:sz w:val="19"/>
              </w:rPr>
              <w:t>Vienna · Ryanair (12/mese)</w:t>
            </w:r>
          </w:p>
        </w:tc>
      </w:tr>
      <w:tr>
        <w:tc>
          <w:tcPr>
            <w:tcW w:type="dxa" w:w="1440"/>
            <w:shd w:val="clear" w:color="auto" w:fill="EEF2F1"/>
          </w:tcPr>
          <w:p>
            <w:r>
              <w:rPr>
                <w:sz w:val="19"/>
              </w:rPr>
              <w:t>Spain (opportunità)</w:t>
            </w:r>
          </w:p>
        </w:tc>
        <w:tc>
          <w:tcPr>
            <w:tcW w:type="dxa" w:w="1440"/>
            <w:shd w:val="clear" w:color="auto" w:fill="EEF2F1"/>
          </w:tcPr>
          <w:p>
            <w:r>
              <w:rPr>
                <w:sz w:val="19"/>
              </w:rPr>
              <w:t>spagnolo</w:t>
            </w:r>
          </w:p>
        </w:tc>
        <w:tc>
          <w:tcPr>
            <w:tcW w:type="dxa" w:w="1440"/>
            <w:shd w:val="clear" w:color="auto" w:fill="EEF2F1"/>
          </w:tcPr>
          <w:p>
            <w:r>
              <w:rPr>
                <w:sz w:val="19"/>
              </w:rPr>
              <w:t>Prevalentemente stagionale</w:t>
            </w:r>
          </w:p>
        </w:tc>
        <w:tc>
          <w:tcPr>
            <w:tcW w:type="dxa" w:w="1440"/>
            <w:shd w:val="clear" w:color="auto" w:fill="EEF2F1"/>
          </w:tcPr>
          <w:p>
            <w:r>
              <w:rPr>
                <w:sz w:val="19"/>
              </w:rPr>
              <w:t>più volte a settimana</w:t>
            </w:r>
          </w:p>
        </w:tc>
        <w:tc>
          <w:tcPr>
            <w:tcW w:type="dxa" w:w="1440"/>
            <w:shd w:val="clear" w:color="auto" w:fill="EEF2F1"/>
          </w:tcPr>
          <w:p>
            <w:r>
              <w:rPr>
                <w:sz w:val="19"/>
              </w:rPr>
              <w:t>9</w:t>
            </w:r>
          </w:p>
        </w:tc>
        <w:tc>
          <w:tcPr>
            <w:tcW w:type="dxa" w:w="1440"/>
            <w:shd w:val="clear" w:color="auto" w:fill="EEF2F1"/>
          </w:tcPr>
          <w:p>
            <w:r>
              <w:rPr>
                <w:sz w:val="19"/>
              </w:rPr>
              <w:t>Barcelona (9/mese)</w:t>
            </w:r>
          </w:p>
        </w:tc>
      </w:tr>
      <w:tr>
        <w:tc>
          <w:tcPr>
            <w:tcW w:type="dxa" w:w="1440"/>
          </w:tcPr>
          <w:p>
            <w:r>
              <w:rPr>
                <w:sz w:val="19"/>
              </w:rPr>
              <w:t>Czechia (opportunità)</w:t>
            </w:r>
          </w:p>
        </w:tc>
        <w:tc>
          <w:tcPr>
            <w:tcW w:type="dxa" w:w="1440"/>
          </w:tcPr>
          <w:p>
            <w:r>
              <w:rPr>
                <w:sz w:val="19"/>
              </w:rPr>
              <w:t>ceco</w:t>
            </w:r>
          </w:p>
        </w:tc>
        <w:tc>
          <w:tcPr>
            <w:tcW w:type="dxa" w:w="1440"/>
          </w:tcPr>
          <w:p>
            <w:r>
              <w:rPr>
                <w:sz w:val="19"/>
              </w:rPr>
              <w:t>Prevalentemente stagionale (luglio→ottobre)</w:t>
            </w:r>
          </w:p>
        </w:tc>
        <w:tc>
          <w:tcPr>
            <w:tcW w:type="dxa" w:w="1440"/>
          </w:tcPr>
          <w:p>
            <w:r>
              <w:rPr>
                <w:sz w:val="19"/>
              </w:rPr>
              <w:t>più volte a settimana</w:t>
            </w:r>
          </w:p>
        </w:tc>
        <w:tc>
          <w:tcPr>
            <w:tcW w:type="dxa" w:w="1440"/>
          </w:tcPr>
          <w:p>
            <w:r>
              <w:rPr>
                <w:sz w:val="19"/>
              </w:rPr>
              <w:t>8</w:t>
            </w:r>
          </w:p>
        </w:tc>
        <w:tc>
          <w:tcPr>
            <w:tcW w:type="dxa" w:w="1440"/>
          </w:tcPr>
          <w:p>
            <w:r>
              <w:rPr>
                <w:sz w:val="19"/>
              </w:rPr>
              <w:t>Prague · Ryanair (8/mese)</w:t>
            </w:r>
          </w:p>
        </w:tc>
      </w:tr>
      <w:tr>
        <w:tc>
          <w:tcPr>
            <w:tcW w:type="dxa" w:w="1440"/>
            <w:shd w:val="clear" w:color="auto" w:fill="EEF2F1"/>
          </w:tcPr>
          <w:p>
            <w:r>
              <w:rPr>
                <w:sz w:val="19"/>
              </w:rPr>
              <w:t>Moldova (opportunità)</w:t>
            </w:r>
          </w:p>
        </w:tc>
        <w:tc>
          <w:tcPr>
            <w:tcW w:type="dxa" w:w="1440"/>
            <w:shd w:val="clear" w:color="auto" w:fill="EEF2F1"/>
          </w:tcPr>
          <w:p>
            <w:r>
              <w:rPr>
                <w:sz w:val="19"/>
              </w:rPr>
              <w:t>rumeno, russo</w:t>
            </w:r>
          </w:p>
        </w:tc>
        <w:tc>
          <w:tcPr>
            <w:tcW w:type="dxa" w:w="1440"/>
            <w:shd w:val="clear" w:color="auto" w:fill="EEF2F1"/>
          </w:tcPr>
          <w:p>
            <w:r>
              <w:rPr>
                <w:sz w:val="19"/>
              </w:rPr>
              <w:t>Prevalentemente stagionale (luglio→settembre)</w:t>
            </w:r>
          </w:p>
        </w:tc>
        <w:tc>
          <w:tcPr>
            <w:tcW w:type="dxa" w:w="1440"/>
            <w:shd w:val="clear" w:color="auto" w:fill="EEF2F1"/>
          </w:tcPr>
          <w:p>
            <w:r>
              <w:rPr>
                <w:sz w:val="19"/>
              </w:rPr>
              <w:t>più volte a settimana</w:t>
            </w:r>
          </w:p>
        </w:tc>
        <w:tc>
          <w:tcPr>
            <w:tcW w:type="dxa" w:w="1440"/>
            <w:shd w:val="clear" w:color="auto" w:fill="EEF2F1"/>
          </w:tcPr>
          <w:p>
            <w:r>
              <w:rPr>
                <w:sz w:val="19"/>
              </w:rPr>
              <w:t>8</w:t>
            </w:r>
          </w:p>
        </w:tc>
        <w:tc>
          <w:tcPr>
            <w:tcW w:type="dxa" w:w="1440"/>
            <w:shd w:val="clear" w:color="auto" w:fill="EEF2F1"/>
          </w:tcPr>
          <w:p>
            <w:r>
              <w:rPr>
                <w:sz w:val="19"/>
              </w:rPr>
              <w:t>Chișinău · Wizz Air Malta (8/mese)</w:t>
            </w:r>
          </w:p>
        </w:tc>
      </w:tr>
    </w:tbl>
    <w:p>
      <w:pPr>
        <w:spacing w:after="160"/>
      </w:pPr>
    </w:p>
    <w:p>
      <w:r>
        <w:t>Come leggerla: L'origine del volo è un proxy della lingua/mercato, non della nazionalità dei passeggeri. Solo rotte di linea dirette (non presenze reali né voli con scalo). La stagionalità riflette lo snapshot degli orari: affidabile sui collegamenti stagionali dedicati, da confermare sui grandi hub.</w:t>
      </w:r>
    </w:p>
    <w:p>
      <w:r>
        <w:t>La distribuzione dell'Ambasciatori va governata, non riscritta: le OTA restano un canale di scoperta e di riempimento sulle code di stagione, mentre il diretto va rafforzato dove la domanda è già forte (v. matrice di canale, sez. 03). Sul fronte mercati, il mix reale è nettamente italiano con una coda tedesca attiva ma sotto-sviluppata rispetto al suo potenziale reputazionale, e la connettività aerea segnala alcuni bacini raggiungibili non ancora presenti in struttura: la priorità è consolidare ciò che già converte prima di rincorrere mercati ipotetici.</w:t>
      </w:r>
    </w:p>
    <w:p>
      <w:pPr>
        <w:spacing w:before="160" w:after="40"/>
      </w:pPr>
      <w:r>
        <w:rPr>
          <w:b/>
          <w:color w:val="2F5D62"/>
          <w:sz w:val="24"/>
        </w:rPr>
        <w:t>Obiettivi misurabili</w:t>
      </w:r>
    </w:p>
    <w:p>
      <w:pPr>
        <w:pStyle w:val="ListBullet"/>
      </w:pPr>
      <w:r>
        <w:t>Portare a verifica e aggiornamento la scheda dell'hotel sui portali comportamentali (Booking, Google Hotels) e sui portali di destinazione entro la chiusura invernale, come obiettivo di processo propedeutico a qualunque intervento di canale</w:t>
      </w:r>
    </w:p>
    <w:p>
      <w:pPr>
        <w:pStyle w:val="ListBullet"/>
      </w:pPr>
      <w:r>
        <w:t>Impostare il monitoraggio strutturato della parità tariffaria diretto/OTA su metasearch (v. sez. 03) come precondizione per qualsiasi spinta sul mercato tedesco o sui bacini da testare</w:t>
      </w:r>
    </w:p>
    <w:p>
      <w:pPr>
        <w:pStyle w:val="ListBullet"/>
      </w:pPr>
      <w:r>
        <w:t>Lanciare un test pilota su almeno uno dei mercati con connettività aerea ma domanda non ancora presente, con landing page in lingua e finestra stagionale coerente, misurandone il ritorno prima di scalarlo</w:t>
      </w:r>
    </w:p>
    <w:p>
      <w:pPr>
        <w:spacing w:before="160" w:after="40"/>
      </w:pPr>
      <w:r>
        <w:rPr>
          <w:b/>
          <w:color w:val="2F5D62"/>
          <w:sz w:val="24"/>
        </w:rPr>
        <w:t>Azioni</w:t>
      </w:r>
    </w:p>
    <w:p>
      <w:r>
        <w:t>Il mercato tedesco parla già bene dell'Ambasciatori — la reputazione su HolidayCheck, il portale di riferimento per l'area DACH, è solidissima — ma pesa ancora poco sul totale ospiti rispetto a quel potenziale. Questo scarto tra qualità percepita e volume implica che non serve costruire da zero una relazione con il mercato tedesco, va semplicemente amplificata quella già esistente: la leva più efficiente è il contenuto in tedesco corretto e idiomatico (non tradotto meccanicamente) sulle pagine segmento spa/coppia e famiglia, corredato da una presenza rafforzata e aggiornata sul listing HolidayCheck stesso e da un presidio coerente su Booking per lo stesso pubblico. Il mercato tedesco prenota con anticipo e tende a evitare il cuore dell'estate preferendo le spalle stagionali: la comunicazione verso questo pubblico va quindi anticipata rispetto al mercato italiano e concentrata sulle finestre di giugno e settembre, in coerenza con l'apertura stagionale della struttura.</w:t>
      </w:r>
    </w:p>
    <w:p>
      <w:r>
        <w:t>La tabella di connettività aerea mostra due mercati già presenti nel mix ospiti (Regno Unito e Germania) e più bacini con voli diretti ma senza ancora clientela riscontrata (Polonia, Albania, Ungheria, Belgio, Francia, Bulgaria): la domanda incontra l'offerta di trasporto solo nei primi due, mentre negli altri l'assenza di prova d'acquisto impone di trattarli come ipotesi da testare, non come mercati da aggredire con budget pieno. Per il Regno Unito, che nel comparto viaggia con l'anticipo di prenotazione più lungo tra i mercati esteri, l'azione è mantenere visibilità nella finestra stagionale che si estende da luglio a ottobre con contenuto in inglese sulle pagine posizione e spa, senza necessità di nuova esplorazione. Per i bacini flight-only, l'azione è circoscritta: una landing page nella lingua del mercato (polacco, albanese, ungherese, francese) più una campagna pilota a budget contenuto nella finestra stagionale indicata per ciascuno — o continua per il Belgio, unico bacino con collegamento tutto l'anno — misurando l'esito prima di qualunque estensione. Il basino domestico resta il perno assoluto della distribuzione e va coperto in continuità in lingua italiana, senza le logiche stagionali riservate ai mercati esteri.</w:t>
      </w:r>
    </w:p>
    <w:p>
      <w:r>
        <w:t>Sul fronte OTA, il ruolo resta quello di canale di scoperta e riempimento nelle fasi di apertura e chiusura stagione: qui la leva non è la disintermediazione ma la qualità dell'ascolto — foto aggiornate e rappresentative delle aree di forza validate (spa, fronte mare), descrizione coerente con i servizi reali, risposta puntuale alle recensioni sui portali dove il cliente le legge prima di decidere. Il canale di destinazione (i portali locali di Riccione) va presidiato come vetrina passiva a basso sforzo: verificare coerenza di nome, indirizzo e categorie di servizio è un'azione a costo quasi nullo che rafforza la citabilità della struttura senza sottrarre risorse al lavoro sul diretto.</w:t>
      </w:r>
    </w:p>
    <w:p>
      <w:pPr>
        <w:spacing w:before="160" w:after="40"/>
      </w:pPr>
      <w:r>
        <w:rPr>
          <w:b/>
          <w:color w:val="2F5D62"/>
          <w:sz w:val="24"/>
        </w:rPr>
        <w:t>KPI</w:t>
      </w:r>
    </w:p>
    <w:p>
      <w:r>
        <w:t>KPI di dettaglio in sez. 06 (Measurement): qui si richiamano solo indicatori di processo propedeutici — completamento dell'audit di parità tariffaria, pubblicazione della landing pilota per il mercato flight-only selezionato, aggiornamento del listing HolidayCheck/Booking in lingua tedesca.</w:t>
      </w:r>
    </w:p>
    <w:p>
      <w:pPr>
        <w:spacing w:before="160" w:after="40"/>
      </w:pPr>
      <w:r>
        <w:rPr>
          <w:b/>
          <w:color w:val="2F5D62"/>
          <w:sz w:val="24"/>
        </w:rPr>
        <w:t>Note esecutive</w:t>
      </w:r>
    </w:p>
    <w:p>
      <w:pPr>
        <w:pStyle w:val="ListBullet"/>
      </w:pPr>
      <w:r>
        <w:t>I mercati flight-only vanno trattati uno alla volta: un solo pilota per ciclo di test evita di disperdere budget su ipotesi non ancora validate</w:t>
      </w:r>
    </w:p>
    <w:p>
      <w:pPr>
        <w:pStyle w:val="ListBullet"/>
      </w:pPr>
      <w:r>
        <w:t>La spinta sul mercato tedesco precede quella sui bacini flight-only nella sequenza operativa, perché parte da una base di prova reputazionale già consolidata</w:t>
      </w:r>
    </w:p>
    <w:p>
      <w:pPr>
        <w:pStyle w:val="ListBullet"/>
      </w:pPr>
      <w:r>
        <w:t>Qualunque intervento sul canale diretto verso l'estero (landing, campagna) va sincronizzato con l'esito dell'audit di parità tariffaria: spingere traffico su un booking engine meno competitivo dell'OTA sullo stesso mercato sarebbe controproducente</w:t>
      </w:r>
    </w:p>
    <w:p>
      <w:r>
        <w:br w:type="page"/>
      </w:r>
    </w:p>
    <w:p>
      <w:pPr>
        <w:spacing w:after="0"/>
      </w:pPr>
      <w:r>
        <w:rPr>
          <w:b/>
          <w:color w:val="2F5D62"/>
          <w:sz w:val="18"/>
        </w:rPr>
        <w:t>SEZIONE 05</w:t>
      </w:r>
    </w:p>
    <w:p>
      <w:pPr>
        <w:spacing w:after="200"/>
        <w:pBdr>
          <w:bottom w:val="single" w:sz="18" w:space="6" w:color="2F5D62"/>
        </w:pBdr>
      </w:pPr>
      <w:r>
        <w:rPr>
          <w:b/>
          <w:color w:val="1A1A2E"/>
          <w:sz w:val="40"/>
        </w:rPr>
        <w:t>Roadmap 12 mesi</w:t>
      </w:r>
    </w:p>
    <w:p>
      <w:pPr>
        <w:spacing w:before="160" w:after="40"/>
      </w:pPr>
      <w:r>
        <w:rPr>
          <w:b/>
          <w:color w:val="2F5D62"/>
          <w:sz w:val="24"/>
        </w:rPr>
        <w:t>Vincoli operativi della roadmap (decision record)</w:t>
      </w:r>
    </w:p>
    <w:p>
      <w:r>
        <w:t>Archetipo operativo: annuale con quota fiere/business. Mesi di apertura: gen, feb, mar, apr, mag, giu, lug, ago, set, ott, nov, dic.</w:t>
      </w:r>
    </w:p>
    <w:tbl>
      <w:tblPr>
        <w:tblStyle w:val="TableGrid"/>
        <w:tblW w:type="auto" w:w="0"/>
        <w:jc w:val="center"/>
        <w:tblLook w:firstColumn="1" w:firstRow="1" w:lastColumn="0" w:lastRow="0" w:noHBand="0" w:noVBand="1" w:val="04A0"/>
      </w:tblPr>
      <w:tblGrid>
        <w:gridCol w:w="2880"/>
        <w:gridCol w:w="2880"/>
        <w:gridCol w:w="2880"/>
      </w:tblGrid>
      <w:tr>
        <w:trPr>
          <w:tblHeader w:val="true"/>
        </w:trPr>
        <w:tc>
          <w:tcPr>
            <w:tcW w:type="dxa" w:w="2880"/>
            <w:shd w:val="clear" w:color="auto" w:fill="2F5D62"/>
          </w:tcPr>
          <w:p>
            <w:r>
              <w:rPr>
                <w:b/>
                <w:color w:val="FFFFFF"/>
                <w:sz w:val="19"/>
              </w:rPr>
              <w:t>Vincolo</w:t>
            </w:r>
          </w:p>
        </w:tc>
        <w:tc>
          <w:tcPr>
            <w:tcW w:type="dxa" w:w="2880"/>
            <w:shd w:val="clear" w:color="auto" w:fill="2F5D62"/>
          </w:tcPr>
          <w:p>
            <w:r>
              <w:rPr>
                <w:b/>
                <w:color w:val="FFFFFF"/>
                <w:sz w:val="19"/>
              </w:rPr>
              <w:t>Quando</w:t>
            </w:r>
          </w:p>
        </w:tc>
        <w:tc>
          <w:tcPr>
            <w:tcW w:type="dxa" w:w="2880"/>
            <w:shd w:val="clear" w:color="auto" w:fill="2F5D62"/>
          </w:tcPr>
          <w:p>
            <w:r>
              <w:rPr>
                <w:b/>
                <w:color w:val="FFFFFF"/>
                <w:sz w:val="19"/>
              </w:rPr>
              <w:t>Perché</w:t>
            </w:r>
          </w:p>
        </w:tc>
      </w:tr>
      <w:tr>
        <w:tc>
          <w:tcPr>
            <w:tcW w:type="dxa" w:w="2880"/>
          </w:tcPr>
          <w:p>
            <w:r>
              <w:rPr>
                <w:sz w:val="19"/>
              </w:rPr>
              <w:t>Chiusura listino/pacchetti</w:t>
            </w:r>
          </w:p>
        </w:tc>
        <w:tc>
          <w:tcPr>
            <w:tcW w:type="dxa" w:w="2880"/>
          </w:tcPr>
          <w:p>
            <w:r>
              <w:rPr>
                <w:sz w:val="19"/>
              </w:rPr>
              <w:t>nov</w:t>
            </w:r>
          </w:p>
        </w:tc>
        <w:tc>
          <w:tcPr>
            <w:tcW w:type="dxa" w:w="2880"/>
          </w:tcPr>
          <w:p>
            <w:r>
              <w:rPr>
                <w:sz w:val="19"/>
              </w:rPr>
              <w:t>vendite prenotabili prima dell'apertura delle finestre di mercato</w:t>
            </w:r>
          </w:p>
        </w:tc>
      </w:tr>
      <w:tr>
        <w:tc>
          <w:tcPr>
            <w:tcW w:type="dxa" w:w="2880"/>
            <w:shd w:val="clear" w:color="auto" w:fill="EEF2F1"/>
          </w:tcPr>
          <w:p>
            <w:r>
              <w:rPr>
                <w:sz w:val="19"/>
              </w:rPr>
              <w:t>Apertura vendite per mercato</w:t>
            </w:r>
          </w:p>
        </w:tc>
        <w:tc>
          <w:tcPr>
            <w:tcW w:type="dxa" w:w="2880"/>
            <w:shd w:val="clear" w:color="auto" w:fill="EEF2F1"/>
          </w:tcPr>
          <w:p>
            <w:r>
              <w:rPr>
                <w:sz w:val="19"/>
              </w:rPr>
              <w:t>DE gen; IT_estate gen; UK nov</w:t>
            </w:r>
          </w:p>
        </w:tc>
        <w:tc>
          <w:tcPr>
            <w:tcW w:type="dxa" w:w="2880"/>
            <w:shd w:val="clear" w:color="auto" w:fill="EEF2F1"/>
          </w:tcPr>
          <w:p>
            <w:r>
              <w:rPr>
                <w:sz w:val="19"/>
              </w:rPr>
              <w:t>anticipo derivato dalle finestre di prenotazione</w:t>
            </w:r>
          </w:p>
        </w:tc>
      </w:tr>
      <w:tr>
        <w:tc>
          <w:tcPr>
            <w:tcW w:type="dxa" w:w="2880"/>
          </w:tcPr>
          <w:p>
            <w:r>
              <w:rPr>
                <w:sz w:val="19"/>
              </w:rPr>
              <w:t>Sprint nei mesi morbidi</w:t>
            </w:r>
          </w:p>
        </w:tc>
        <w:tc>
          <w:tcPr>
            <w:tcW w:type="dxa" w:w="2880"/>
          </w:tcPr>
          <w:p>
            <w:r>
              <w:rPr>
                <w:sz w:val="19"/>
              </w:rPr>
              <w:t>gen, feb, nov, dic</w:t>
            </w:r>
          </w:p>
        </w:tc>
        <w:tc>
          <w:tcPr>
            <w:tcW w:type="dxa" w:w="2880"/>
          </w:tcPr>
          <w:p>
            <w:r>
              <w:rPr>
                <w:sz w:val="19"/>
              </w:rPr>
              <w:t>l'annuale non ha cantiere di chiusura: lavori a rotazione</w:t>
            </w:r>
          </w:p>
        </w:tc>
      </w:tr>
      <w:tr>
        <w:tc>
          <w:tcPr>
            <w:tcW w:type="dxa" w:w="2880"/>
            <w:shd w:val="clear" w:color="auto" w:fill="EEF2F1"/>
          </w:tcPr>
          <w:p>
            <w:r>
              <w:rPr>
                <w:sz w:val="19"/>
              </w:rPr>
              <w:t>Piano presenza fiere</w:t>
            </w:r>
          </w:p>
        </w:tc>
        <w:tc>
          <w:tcPr>
            <w:tcW w:type="dxa" w:w="2880"/>
            <w:shd w:val="clear" w:color="auto" w:fill="EEF2F1"/>
          </w:tcPr>
          <w:p>
            <w:r>
              <w:rPr>
                <w:sz w:val="19"/>
              </w:rPr>
              <w:t>RiminiWellness, World Ducati Week, Meeting di Rimini, Tecna, TTG/SIA/SUN, Ecomondo, IBE, SIGEP, Beer&amp;Food Attraction, KEY</w:t>
            </w:r>
          </w:p>
        </w:tc>
        <w:tc>
          <w:tcPr>
            <w:tcW w:type="dxa" w:w="2880"/>
            <w:shd w:val="clear" w:color="auto" w:fill="EEF2F1"/>
          </w:tcPr>
          <w:p>
            <w:r>
              <w:rPr>
                <w:sz w:val="19"/>
              </w:rPr>
              <w:t>una pagina/offerta per fiera, con navetta e convenzioni</w:t>
            </w:r>
          </w:p>
        </w:tc>
      </w:tr>
      <w:tr>
        <w:tc>
          <w:tcPr>
            <w:tcW w:type="dxa" w:w="2880"/>
          </w:tcPr>
          <w:p>
            <w:r>
              <w:rPr>
                <w:sz w:val="19"/>
              </w:rPr>
              <w:t>Picchi evento di destinazione</w:t>
            </w:r>
          </w:p>
        </w:tc>
        <w:tc>
          <w:tcPr>
            <w:tcW w:type="dxa" w:w="2880"/>
          </w:tcPr>
          <w:p>
            <w:r>
              <w:rPr>
                <w:sz w:val="19"/>
              </w:rPr>
              <w:t>Notte Rosa (2026-06-19)</w:t>
            </w:r>
          </w:p>
        </w:tc>
        <w:tc>
          <w:tcPr>
            <w:tcW w:type="dxa" w:w="2880"/>
          </w:tcPr>
          <w:p>
            <w:r>
              <w:rPr>
                <w:sz w:val="19"/>
              </w:rPr>
              <w:t>picchi di domanda weekend da nominare nella roadmap</w:t>
            </w:r>
          </w:p>
        </w:tc>
      </w:tr>
      <w:tr>
        <w:tc>
          <w:tcPr>
            <w:tcW w:type="dxa" w:w="2880"/>
            <w:shd w:val="clear" w:color="auto" w:fill="EEF2F1"/>
          </w:tcPr>
          <w:p>
            <w:r>
              <w:rPr>
                <w:sz w:val="19"/>
              </w:rPr>
              <w:t>Festività e ponti (fuori picco)</w:t>
            </w:r>
          </w:p>
        </w:tc>
        <w:tc>
          <w:tcPr>
            <w:tcW w:type="dxa" w:w="2880"/>
            <w:shd w:val="clear" w:color="auto" w:fill="EEF2F1"/>
          </w:tcPr>
          <w:p>
            <w:r>
              <w:rPr>
                <w:sz w:val="19"/>
              </w:rPr>
              <w:t>Ognissanti, Immacolata (ponte), Natale (weekend lungo), Santo Stefano, Capodanno (weekend lungo), Epifania, Pasqua, Pasquetta (weekend lungo), Liberazione, Festa del Lavoro, Festa della Repubblica</w:t>
            </w:r>
          </w:p>
        </w:tc>
        <w:tc>
          <w:tcPr>
            <w:tcW w:type="dxa" w:w="2880"/>
            <w:shd w:val="clear" w:color="auto" w:fill="EEF2F1"/>
          </w:tcPr>
          <w:p>
            <w:r>
              <w:rPr>
                <w:sz w:val="19"/>
              </w:rPr>
              <w:t>momenti-prodotto di bassa/media stagione: pacchetti dedicati; i ponti sono meteo-dipendenti, a finestra corta</w:t>
            </w:r>
          </w:p>
        </w:tc>
      </w:tr>
      <w:tr>
        <w:tc>
          <w:tcPr>
            <w:tcW w:type="dxa" w:w="2880"/>
          </w:tcPr>
          <w:p>
            <w:r>
              <w:rPr>
                <w:sz w:val="19"/>
              </w:rPr>
              <w:t>Prodotto di bassa stagione</w:t>
            </w:r>
          </w:p>
        </w:tc>
        <w:tc>
          <w:tcPr>
            <w:tcW w:type="dxa" w:w="2880"/>
          </w:tcPr>
          <w:p>
            <w:r>
              <w:rPr>
                <w:sz w:val="19"/>
              </w:rPr>
              <w:t>pacchetti benessere e festività</w:t>
            </w:r>
          </w:p>
        </w:tc>
        <w:tc>
          <w:tcPr>
            <w:tcW w:type="dxa" w:w="2880"/>
          </w:tcPr>
          <w:p>
            <w:r>
              <w:rPr>
                <w:sz w:val="19"/>
              </w:rPr>
              <w:t>spa/piscina riscaldata: il prodotto che riempie l'inverno</w:t>
            </w:r>
          </w:p>
        </w:tc>
      </w:tr>
    </w:tbl>
    <w:p>
      <w:pPr>
        <w:spacing w:after="160"/>
      </w:pPr>
    </w:p>
    <w:p>
      <w:pPr>
        <w:spacing w:before="160" w:after="40"/>
      </w:pPr>
      <w:r>
        <w:rPr>
          <w:b/>
          <w:color w:val="2F5D62"/>
          <w:sz w:val="24"/>
        </w:rPr>
        <w:t>Finestre di campagna per segmento (ancorate al picco reale)</w:t>
      </w:r>
    </w:p>
    <w:tbl>
      <w:tblPr>
        <w:tblStyle w:val="TableGrid"/>
        <w:tblW w:type="auto" w:w="0"/>
        <w:jc w:val="center"/>
        <w:tblLook w:firstColumn="1" w:firstRow="1" w:lastColumn="0" w:lastRow="0" w:noHBand="0" w:noVBand="1" w:val="04A0"/>
      </w:tblPr>
      <w:tblGrid>
        <w:gridCol w:w="2160"/>
        <w:gridCol w:w="2160"/>
        <w:gridCol w:w="2160"/>
        <w:gridCol w:w="2160"/>
      </w:tblGrid>
      <w:tr>
        <w:trPr>
          <w:tblHeader w:val="true"/>
        </w:trPr>
        <w:tc>
          <w:tcPr>
            <w:tcW w:type="dxa" w:w="2160"/>
            <w:shd w:val="clear" w:color="auto" w:fill="2F5D62"/>
          </w:tcPr>
          <w:p>
            <w:r>
              <w:rPr>
                <w:b/>
                <w:color w:val="FFFFFF"/>
                <w:sz w:val="19"/>
              </w:rPr>
              <w:t>Segmento</w:t>
            </w:r>
          </w:p>
        </w:tc>
        <w:tc>
          <w:tcPr>
            <w:tcW w:type="dxa" w:w="2160"/>
            <w:shd w:val="clear" w:color="auto" w:fill="2F5D62"/>
          </w:tcPr>
          <w:p>
            <w:r>
              <w:rPr>
                <w:b/>
                <w:color w:val="FFFFFF"/>
                <w:sz w:val="19"/>
              </w:rPr>
              <w:t>Avvio campagna</w:t>
            </w:r>
          </w:p>
        </w:tc>
        <w:tc>
          <w:tcPr>
            <w:tcW w:type="dxa" w:w="2160"/>
            <w:shd w:val="clear" w:color="auto" w:fill="2F5D62"/>
          </w:tcPr>
          <w:p>
            <w:r>
              <w:rPr>
                <w:b/>
                <w:color w:val="FFFFFF"/>
                <w:sz w:val="19"/>
              </w:rPr>
              <w:t>Mese di picco</w:t>
            </w:r>
          </w:p>
        </w:tc>
        <w:tc>
          <w:tcPr>
            <w:tcW w:type="dxa" w:w="2160"/>
            <w:shd w:val="clear" w:color="auto" w:fill="2F5D62"/>
          </w:tcPr>
          <w:p>
            <w:r>
              <w:rPr>
                <w:b/>
                <w:color w:val="FFFFFF"/>
                <w:sz w:val="19"/>
              </w:rPr>
              <w:t>Anticipo (mesi)</w:t>
            </w:r>
          </w:p>
        </w:tc>
      </w:tr>
      <w:tr>
        <w:tc>
          <w:tcPr>
            <w:tcW w:type="dxa" w:w="2160"/>
          </w:tcPr>
          <w:p>
            <w:r>
              <w:rPr>
                <w:sz w:val="19"/>
              </w:rPr>
              <w:t>Famiglie</w:t>
            </w:r>
          </w:p>
        </w:tc>
        <w:tc>
          <w:tcPr>
            <w:tcW w:type="dxa" w:w="2160"/>
          </w:tcPr>
          <w:p>
            <w:r>
              <w:rPr>
                <w:sz w:val="19"/>
              </w:rPr>
              <w:t>mar</w:t>
            </w:r>
          </w:p>
        </w:tc>
        <w:tc>
          <w:tcPr>
            <w:tcW w:type="dxa" w:w="2160"/>
          </w:tcPr>
          <w:p>
            <w:r>
              <w:rPr>
                <w:sz w:val="19"/>
              </w:rPr>
              <w:t>giu</w:t>
            </w:r>
          </w:p>
        </w:tc>
        <w:tc>
          <w:tcPr>
            <w:tcW w:type="dxa" w:w="2160"/>
          </w:tcPr>
          <w:p>
            <w:r>
              <w:rPr>
                <w:sz w:val="19"/>
              </w:rPr>
              <w:t>3</w:t>
            </w:r>
          </w:p>
        </w:tc>
      </w:tr>
      <w:tr>
        <w:tc>
          <w:tcPr>
            <w:tcW w:type="dxa" w:w="2160"/>
            <w:shd w:val="clear" w:color="auto" w:fill="EEF2F1"/>
          </w:tcPr>
          <w:p>
            <w:r>
              <w:rPr>
                <w:sz w:val="19"/>
              </w:rPr>
              <w:t>Coppie</w:t>
            </w:r>
          </w:p>
        </w:tc>
        <w:tc>
          <w:tcPr>
            <w:tcW w:type="dxa" w:w="2160"/>
            <w:shd w:val="clear" w:color="auto" w:fill="EEF2F1"/>
          </w:tcPr>
          <w:p>
            <w:r>
              <w:rPr>
                <w:sz w:val="19"/>
              </w:rPr>
              <w:t>apr</w:t>
            </w:r>
          </w:p>
        </w:tc>
        <w:tc>
          <w:tcPr>
            <w:tcW w:type="dxa" w:w="2160"/>
            <w:shd w:val="clear" w:color="auto" w:fill="EEF2F1"/>
          </w:tcPr>
          <w:p>
            <w:r>
              <w:rPr>
                <w:sz w:val="19"/>
              </w:rPr>
              <w:t>giu</w:t>
            </w:r>
          </w:p>
        </w:tc>
        <w:tc>
          <w:tcPr>
            <w:tcW w:type="dxa" w:w="2160"/>
            <w:shd w:val="clear" w:color="auto" w:fill="EEF2F1"/>
          </w:tcPr>
          <w:p>
            <w:r>
              <w:rPr>
                <w:sz w:val="19"/>
              </w:rPr>
              <w:t>2</w:t>
            </w:r>
          </w:p>
        </w:tc>
      </w:tr>
      <w:tr>
        <w:tc>
          <w:tcPr>
            <w:tcW w:type="dxa" w:w="2160"/>
          </w:tcPr>
          <w:p>
            <w:r>
              <w:rPr>
                <w:sz w:val="19"/>
              </w:rPr>
              <w:t>DACH</w:t>
            </w:r>
          </w:p>
        </w:tc>
        <w:tc>
          <w:tcPr>
            <w:tcW w:type="dxa" w:w="2160"/>
          </w:tcPr>
          <w:p>
            <w:r>
              <w:rPr>
                <w:sz w:val="19"/>
              </w:rPr>
              <w:t>gen</w:t>
            </w:r>
          </w:p>
        </w:tc>
        <w:tc>
          <w:tcPr>
            <w:tcW w:type="dxa" w:w="2160"/>
          </w:tcPr>
          <w:p>
            <w:r>
              <w:rPr>
                <w:sz w:val="19"/>
              </w:rPr>
              <w:t>giu</w:t>
            </w:r>
          </w:p>
        </w:tc>
        <w:tc>
          <w:tcPr>
            <w:tcW w:type="dxa" w:w="2160"/>
          </w:tcPr>
          <w:p>
            <w:r>
              <w:rPr>
                <w:sz w:val="19"/>
              </w:rPr>
              <w:t>5</w:t>
            </w:r>
          </w:p>
        </w:tc>
      </w:tr>
    </w:tbl>
    <w:p>
      <w:pPr>
        <w:spacing w:after="160"/>
      </w:pPr>
    </w:p>
    <w:p>
      <w:r>
        <w:t>L'Hotel Ambasciatori ha un'apertura stagionale: il cantiere tecnico e i contenuti si preparano nei mesi di chiusura, la raccolta materiali fotografici e video avviene ad hotel aperto, il listino e i pacchetti per i mercati esteri vanno chiusi prima dell'apertura della domanda dei rispettivi mercati, con una coda di visibilità ravvicinata alle date calde. Se i mesi esatti di apertura/chiusura non sono stati confermati dalla proprietà, vanno considerati un'ipotesi da validare (v. sez. 08); la sequenza sotto è comunque costruita sul principio stagionale, non sul calendario di un anno-intero.</w:t>
      </w:r>
    </w:p>
    <w:p>
      <w:pPr>
        <w:spacing w:before="160" w:after="40"/>
      </w:pPr>
      <w:r>
        <w:rPr>
          <w:b/>
          <w:color w:val="2F5D62"/>
          <w:sz w:val="24"/>
        </w:rPr>
        <w:t>Obiettivi misurabili</w:t>
      </w:r>
    </w:p>
    <w:p>
      <w:pPr>
        <w:pStyle w:val="ListBullet"/>
      </w:pPr>
      <w:r>
        <w:t>Completare il cantiere tecnico (schema dati, pagine segmento, tracciamento) entro la chiusura invernale, prima della riapertura</w:t>
      </w:r>
    </w:p>
    <w:p>
      <w:pPr>
        <w:pStyle w:val="ListBullet"/>
      </w:pPr>
      <w:r>
        <w:t>Aprire la comunicazione ai mercati esteri con anticipo coerente con i rispettivi tempi di prenotazione, non a stagione già iniziata</w:t>
      </w:r>
    </w:p>
    <w:p>
      <w:pPr>
        <w:pStyle w:val="ListBullet"/>
      </w:pPr>
      <w:r>
        <w:t>Impostare come obiettivo di processo la raccolta strutturata di materiale fotografico/video e di recensioni family-specific durante l'apertura (v. sez. 02)</w:t>
      </w:r>
    </w:p>
    <w:p>
      <w:pPr>
        <w:spacing w:before="160" w:after="40"/>
      </w:pPr>
      <w:r>
        <w:rPr>
          <w:b/>
          <w:color w:val="2F5D62"/>
          <w:sz w:val="24"/>
        </w:rPr>
        <w:t>Azioni</w:t>
      </w:r>
    </w:p>
    <w:tbl>
      <w:tblPr>
        <w:tblStyle w:val="TableGrid"/>
        <w:tblW w:type="auto" w:w="0"/>
        <w:jc w:val="center"/>
        <w:tblLook w:firstColumn="1" w:firstRow="1" w:lastColumn="0" w:lastRow="0" w:noHBand="0" w:noVBand="1" w:val="04A0"/>
      </w:tblPr>
      <w:tblGrid>
        <w:gridCol w:w="2160"/>
        <w:gridCol w:w="2160"/>
        <w:gridCol w:w="2160"/>
        <w:gridCol w:w="2160"/>
      </w:tblGrid>
      <w:tr>
        <w:trPr>
          <w:tblHeader w:val="true"/>
        </w:trPr>
        <w:tc>
          <w:tcPr>
            <w:tcW w:type="dxa" w:w="2160"/>
            <w:shd w:val="clear" w:color="auto" w:fill="2F5D62"/>
          </w:tcPr>
          <w:p>
            <w:r>
              <w:rPr>
                <w:b/>
                <w:color w:val="FFFFFF"/>
                <w:sz w:val="19"/>
              </w:rPr>
              <w:t>Fase</w:t>
            </w:r>
          </w:p>
        </w:tc>
        <w:tc>
          <w:tcPr>
            <w:tcW w:type="dxa" w:w="2160"/>
            <w:shd w:val="clear" w:color="auto" w:fill="2F5D62"/>
          </w:tcPr>
          <w:p>
            <w:r>
              <w:rPr>
                <w:b/>
                <w:color w:val="FFFFFF"/>
                <w:sz w:val="19"/>
              </w:rPr>
              <w:t>Periodo</w:t>
            </w:r>
          </w:p>
        </w:tc>
        <w:tc>
          <w:tcPr>
            <w:tcW w:type="dxa" w:w="2160"/>
            <w:shd w:val="clear" w:color="auto" w:fill="2F5D62"/>
          </w:tcPr>
          <w:p>
            <w:r>
              <w:rPr>
                <w:b/>
                <w:color w:val="FFFFFF"/>
                <w:sz w:val="19"/>
              </w:rPr>
              <w:t>Attività principali</w:t>
            </w:r>
          </w:p>
        </w:tc>
        <w:tc>
          <w:tcPr>
            <w:tcW w:type="dxa" w:w="2160"/>
            <w:shd w:val="clear" w:color="auto" w:fill="2F5D62"/>
          </w:tcPr>
          <w:p>
            <w:r>
              <w:rPr>
                <w:b/>
                <w:color w:val="FFFFFF"/>
                <w:sz w:val="19"/>
              </w:rPr>
              <w:t>Owner</w:t>
            </w:r>
          </w:p>
        </w:tc>
      </w:tr>
      <w:tr>
        <w:tc>
          <w:tcPr>
            <w:tcW w:type="dxa" w:w="2160"/>
          </w:tcPr>
          <w:p>
            <w:r>
              <w:rPr>
                <w:sz w:val="19"/>
              </w:rPr>
              <w:t>Cantiere tecnico e contenuti</w:t>
            </w:r>
          </w:p>
        </w:tc>
        <w:tc>
          <w:tcPr>
            <w:tcW w:type="dxa" w:w="2160"/>
          </w:tcPr>
          <w:p>
            <w:r>
              <w:rPr>
                <w:sz w:val="19"/>
              </w:rPr>
              <w:t>Chiusura invernale</w:t>
            </w:r>
          </w:p>
        </w:tc>
        <w:tc>
          <w:tcPr>
            <w:tcW w:type="dxa" w:w="2160"/>
          </w:tcPr>
          <w:p>
            <w:r>
              <w:rPr>
                <w:sz w:val="19"/>
              </w:rPr>
              <w:t>Schema dati mancanti (breadcrumb, FAQ, localbusiness, product_offer, website_search), rafforzamento pagine segmento (spa/coppia, famiglia, business), verifica scheda su portale di destinazione, impostazione tracciamento su booking engine e canali proprietari</w:t>
            </w:r>
          </w:p>
        </w:tc>
        <w:tc>
          <w:tcPr>
            <w:tcW w:type="dxa" w:w="2160"/>
          </w:tcPr>
          <w:p>
            <w:r>
              <w:rPr>
                <w:sz w:val="19"/>
              </w:rPr>
              <w:t>Agenzia + web dev</w:t>
            </w:r>
          </w:p>
        </w:tc>
      </w:tr>
      <w:tr>
        <w:tc>
          <w:tcPr>
            <w:tcW w:type="dxa" w:w="2160"/>
            <w:shd w:val="clear" w:color="auto" w:fill="EEF2F1"/>
          </w:tcPr>
          <w:p>
            <w:r>
              <w:rPr>
                <w:sz w:val="19"/>
              </w:rPr>
              <w:t>Preparazione listino e pacchetti</w:t>
            </w:r>
          </w:p>
        </w:tc>
        <w:tc>
          <w:tcPr>
            <w:tcW w:type="dxa" w:w="2160"/>
            <w:shd w:val="clear" w:color="auto" w:fill="EEF2F1"/>
          </w:tcPr>
          <w:p>
            <w:r>
              <w:rPr>
                <w:sz w:val="19"/>
              </w:rPr>
              <w:t>Chiusura invernale, prima dell'apertura ai mercati esteri</w:t>
            </w:r>
          </w:p>
        </w:tc>
        <w:tc>
          <w:tcPr>
            <w:tcW w:type="dxa" w:w="2160"/>
            <w:shd w:val="clear" w:color="auto" w:fill="EEF2F1"/>
          </w:tcPr>
          <w:p>
            <w:r>
              <w:rPr>
                <w:sz w:val="19"/>
              </w:rPr>
              <w:t>Definizione pacchetti e formule (family plan, book early) pronti prima dell'apertura della domanda tedesca e degli altri mercati raggiungibili; coordinamento con la direzione su condizioni e cancellazione</w:t>
            </w:r>
          </w:p>
        </w:tc>
        <w:tc>
          <w:tcPr>
            <w:tcW w:type="dxa" w:w="2160"/>
            <w:shd w:val="clear" w:color="auto" w:fill="EEF2F1"/>
          </w:tcPr>
          <w:p>
            <w:r>
              <w:rPr>
                <w:sz w:val="19"/>
              </w:rPr>
              <w:t>Direzione + agenzia</w:t>
            </w:r>
          </w:p>
        </w:tc>
      </w:tr>
      <w:tr>
        <w:tc>
          <w:tcPr>
            <w:tcW w:type="dxa" w:w="2160"/>
          </w:tcPr>
          <w:p>
            <w:r>
              <w:rPr>
                <w:sz w:val="19"/>
              </w:rPr>
              <w:t>Comunicazione a ospiti abituali</w:t>
            </w:r>
          </w:p>
        </w:tc>
        <w:tc>
          <w:tcPr>
            <w:tcW w:type="dxa" w:w="2160"/>
          </w:tcPr>
          <w:p>
            <w:r>
              <w:rPr>
                <w:sz w:val="19"/>
              </w:rPr>
              <w:t>Chiusura invernale, prima della riapertura</w:t>
            </w:r>
          </w:p>
        </w:tc>
        <w:tc>
          <w:tcPr>
            <w:tcW w:type="dxa" w:w="2160"/>
          </w:tcPr>
          <w:p>
            <w:r>
              <w:rPr>
                <w:sz w:val="19"/>
              </w:rPr>
              <w:t>Newsletter di riapertura con data ben visibile, offerta riservata ai ripetenti, attivazione CRM leisure (coppia/famiglia)</w:t>
            </w:r>
          </w:p>
        </w:tc>
        <w:tc>
          <w:tcPr>
            <w:tcW w:type="dxa" w:w="2160"/>
          </w:tcPr>
          <w:p>
            <w:r>
              <w:rPr>
                <w:sz w:val="19"/>
              </w:rPr>
              <w:t>Agenzia + reception/CRM</w:t>
            </w:r>
          </w:p>
        </w:tc>
      </w:tr>
      <w:tr>
        <w:tc>
          <w:tcPr>
            <w:tcW w:type="dxa" w:w="2160"/>
            <w:shd w:val="clear" w:color="auto" w:fill="EEF2F1"/>
          </w:tcPr>
          <w:p>
            <w:r>
              <w:rPr>
                <w:sz w:val="19"/>
              </w:rPr>
              <w:t>Apertura mercati esteri su lead time</w:t>
            </w:r>
          </w:p>
        </w:tc>
        <w:tc>
          <w:tcPr>
            <w:tcW w:type="dxa" w:w="2160"/>
            <w:shd w:val="clear" w:color="auto" w:fill="EEF2F1"/>
          </w:tcPr>
          <w:p>
            <w:r>
              <w:rPr>
                <w:sz w:val="19"/>
              </w:rPr>
              <w:t>Ridosso della riapertura</w:t>
            </w:r>
          </w:p>
        </w:tc>
        <w:tc>
          <w:tcPr>
            <w:tcW w:type="dxa" w:w="2160"/>
            <w:shd w:val="clear" w:color="auto" w:fill="EEF2F1"/>
          </w:tcPr>
          <w:p>
            <w:r>
              <w:rPr>
                <w:sz w:val="19"/>
              </w:rPr>
              <w:t>Attivazione comunicazione sul mercato tedesco (rating HolidayCheck già solido, v. sez. 04) e sugli altri mercati raggiungibili con anticipo maggiore rispetto al mercato italiano</w:t>
            </w:r>
          </w:p>
        </w:tc>
        <w:tc>
          <w:tcPr>
            <w:tcW w:type="dxa" w:w="2160"/>
            <w:shd w:val="clear" w:color="auto" w:fill="EEF2F1"/>
          </w:tcPr>
          <w:p>
            <w:r>
              <w:rPr>
                <w:sz w:val="19"/>
              </w:rPr>
              <w:t>Agenzia</w:t>
            </w:r>
          </w:p>
        </w:tc>
      </w:tr>
      <w:tr>
        <w:tc>
          <w:tcPr>
            <w:tcW w:type="dxa" w:w="2160"/>
          </w:tcPr>
          <w:p>
            <w:r>
              <w:rPr>
                <w:sz w:val="19"/>
              </w:rPr>
              <w:t>Lancio stagione e presidio ravvicinato</w:t>
            </w:r>
          </w:p>
        </w:tc>
        <w:tc>
          <w:tcPr>
            <w:tcW w:type="dxa" w:w="2160"/>
          </w:tcPr>
          <w:p>
            <w:r>
              <w:rPr>
                <w:sz w:val="19"/>
              </w:rPr>
              <w:t>Apertura stagionale</w:t>
            </w:r>
          </w:p>
        </w:tc>
        <w:tc>
          <w:tcPr>
            <w:tcW w:type="dxa" w:w="2160"/>
          </w:tcPr>
          <w:p>
            <w:r>
              <w:rPr>
                <w:sz w:val="19"/>
              </w:rPr>
              <w:t>Presidio ricerca e metasearch nella finestra ravvicinata alle date, monitoraggio parità tariffaria diretto/OTA (v. sez. 04), raccolta materiale fotografico/video con hotel aperto</w:t>
            </w:r>
          </w:p>
        </w:tc>
        <w:tc>
          <w:tcPr>
            <w:tcW w:type="dxa" w:w="2160"/>
          </w:tcPr>
          <w:p>
            <w:r>
              <w:rPr>
                <w:sz w:val="19"/>
              </w:rPr>
              <w:t>Agenzia + struttura</w:t>
            </w:r>
          </w:p>
        </w:tc>
      </w:tr>
      <w:tr>
        <w:tc>
          <w:tcPr>
            <w:tcW w:type="dxa" w:w="2160"/>
            <w:shd w:val="clear" w:color="auto" w:fill="EEF2F1"/>
          </w:tcPr>
          <w:p>
            <w:r>
              <w:rPr>
                <w:sz w:val="19"/>
              </w:rPr>
              <w:t>Raccolta prova sociale family</w:t>
            </w:r>
          </w:p>
        </w:tc>
        <w:tc>
          <w:tcPr>
            <w:tcW w:type="dxa" w:w="2160"/>
            <w:shd w:val="clear" w:color="auto" w:fill="EEF2F1"/>
          </w:tcPr>
          <w:p>
            <w:r>
              <w:rPr>
                <w:sz w:val="19"/>
              </w:rPr>
              <w:t>Durante l'apertura</w:t>
            </w:r>
          </w:p>
        </w:tc>
        <w:tc>
          <w:tcPr>
            <w:tcW w:type="dxa" w:w="2160"/>
            <w:shd w:val="clear" w:color="auto" w:fill="EEF2F1"/>
          </w:tcPr>
          <w:p>
            <w:r>
              <w:rPr>
                <w:sz w:val="19"/>
              </w:rPr>
              <w:t>Sollecito recensioni post-soggiorno alle famiglie con richiesta esplicita di citare i servizi bimbi (v. sez. 02), per costruire corpus e citabilità</w:t>
            </w:r>
          </w:p>
        </w:tc>
        <w:tc>
          <w:tcPr>
            <w:tcW w:type="dxa" w:w="2160"/>
            <w:shd w:val="clear" w:color="auto" w:fill="EEF2F1"/>
          </w:tcPr>
          <w:p>
            <w:r>
              <w:rPr>
                <w:sz w:val="19"/>
              </w:rPr>
              <w:t>Reception + agenzia</w:t>
            </w:r>
          </w:p>
        </w:tc>
      </w:tr>
      <w:tr>
        <w:tc>
          <w:tcPr>
            <w:tcW w:type="dxa" w:w="2160"/>
          </w:tcPr>
          <w:p>
            <w:r>
              <w:rPr>
                <w:sz w:val="19"/>
              </w:rPr>
              <w:t>Ottimizzazione e verifica</w:t>
            </w:r>
          </w:p>
        </w:tc>
        <w:tc>
          <w:tcPr>
            <w:tcW w:type="dxa" w:w="2160"/>
          </w:tcPr>
          <w:p>
            <w:r>
              <w:rPr>
                <w:sz w:val="19"/>
              </w:rPr>
              <w:t>Chiusura successiva</w:t>
            </w:r>
          </w:p>
        </w:tc>
        <w:tc>
          <w:tcPr>
            <w:tcW w:type="dxa" w:w="2160"/>
          </w:tcPr>
          <w:p>
            <w:r>
              <w:rPr>
                <w:sz w:val="19"/>
              </w:rPr>
              <w:t>Rilettura dei risultati della stagione, aggiornamento pagine e schema in base ai gap emersi, ripetizione dell'audit di visibilità sugli assistenti AI (v. sez. 06)</w:t>
            </w:r>
          </w:p>
        </w:tc>
        <w:tc>
          <w:tcPr>
            <w:tcW w:type="dxa" w:w="2160"/>
          </w:tcPr>
          <w:p>
            <w:r>
              <w:rPr>
                <w:sz w:val="19"/>
              </w:rPr>
              <w:t>Agenzia</w:t>
            </w:r>
          </w:p>
        </w:tc>
      </w:tr>
    </w:tbl>
    <w:p>
      <w:pPr>
        <w:spacing w:after="160"/>
      </w:pPr>
    </w:p>
    <w:p>
      <w:r>
        <w:t>Il gate strutturale resta quello già indicato per il canale business (v. sez. 03): il calendario fieristico cade in larga parte fuori dal periodo di apertura della struttura, per cui il presidio B2B/MICE non è una priorità della roadmap dei primi 12 mesi, salvo eventuali date estive coincidenti con l'apertura, da verificare caso per caso con la direzione.</w:t>
      </w:r>
    </w:p>
    <w:p>
      <w:pPr>
        <w:spacing w:before="160" w:after="40"/>
      </w:pPr>
      <w:r>
        <w:rPr>
          <w:b/>
          <w:color w:val="2F5D62"/>
          <w:sz w:val="24"/>
        </w:rPr>
        <w:t>KPI</w:t>
      </w:r>
    </w:p>
    <w:p>
      <w:pPr>
        <w:pStyle w:val="ListBullet"/>
      </w:pPr>
      <w:r>
        <w:t>V. cruscotto KPI nord in sez. 06 per i valori target/baseline; questa sezione ne fissa solo la sequenza temporale.</w:t>
      </w:r>
    </w:p>
    <w:p>
      <w:pPr>
        <w:spacing w:before="160" w:after="40"/>
      </w:pPr>
      <w:r>
        <w:rPr>
          <w:b/>
          <w:color w:val="2F5D62"/>
          <w:sz w:val="24"/>
        </w:rPr>
        <w:t>Note esecutive</w:t>
      </w:r>
    </w:p>
    <w:p>
      <w:pPr>
        <w:pStyle w:val="ListBullet"/>
      </w:pPr>
      <w:r>
        <w:t>Il cantiere tecnico non va mai collocato nei mesi di apertura: rischia di sottrarre risorse alla struttura nel momento di massimo carico operativo</w:t>
      </w:r>
    </w:p>
    <w:p>
      <w:pPr>
        <w:pStyle w:val="ListBullet"/>
      </w:pPr>
      <w:r>
        <w:t>La raccolta di materiale fotografico e recensioni è possibile solo a hotel aperto: va pianificata come attività ricorrente della stagione, non rimandata a fine anno</w:t>
      </w:r>
    </w:p>
    <w:p>
      <w:pPr>
        <w:pStyle w:val="ListBullet"/>
      </w:pPr>
      <w:r>
        <w:t>L'anticipo della comunicazione verso i mercati esteri deve precedere, non seguire, l'apertura della loro domanda: attivare la sequenza nella chiusura invernale evita di rincorrere una stagione già avviata</w:t>
      </w:r>
    </w:p>
    <w:p>
      <w:r>
        <w:br w:type="page"/>
      </w:r>
    </w:p>
    <w:p>
      <w:pPr>
        <w:spacing w:after="0"/>
      </w:pPr>
      <w:r>
        <w:rPr>
          <w:b/>
          <w:color w:val="2F5D62"/>
          <w:sz w:val="18"/>
        </w:rPr>
        <w:t>SEZIONE 06</w:t>
      </w:r>
    </w:p>
    <w:p>
      <w:pPr>
        <w:spacing w:after="200"/>
        <w:pBdr>
          <w:bottom w:val="single" w:sz="18" w:space="6" w:color="2F5D62"/>
        </w:pBdr>
      </w:pPr>
      <w:r>
        <w:rPr>
          <w:b/>
          <w:color w:val="1A1A2E"/>
          <w:sz w:val="40"/>
        </w:rPr>
        <w:t>Misurazione &amp; governance</w:t>
      </w:r>
    </w:p>
    <w:p>
      <w:pPr>
        <w:spacing w:before="160" w:after="40"/>
      </w:pPr>
      <w:r>
        <w:rPr>
          <w:b/>
          <w:color w:val="2F5D62"/>
          <w:sz w:val="24"/>
        </w:rPr>
        <w:t>KPI nord (baseline → target o obiettivo di processo)</w:t>
      </w:r>
    </w:p>
    <w:tbl>
      <w:tblPr>
        <w:tblStyle w:val="TableGrid"/>
        <w:tblW w:type="auto" w:w="0"/>
        <w:jc w:val="center"/>
        <w:tblLook w:firstColumn="1" w:firstRow="1" w:lastColumn="0" w:lastRow="0" w:noHBand="0" w:noVBand="1" w:val="04A0"/>
      </w:tblPr>
      <w:tblGrid>
        <w:gridCol w:w="2160"/>
        <w:gridCol w:w="2160"/>
        <w:gridCol w:w="2160"/>
        <w:gridCol w:w="2160"/>
      </w:tblGrid>
      <w:tr>
        <w:trPr>
          <w:tblHeader w:val="true"/>
        </w:trPr>
        <w:tc>
          <w:tcPr>
            <w:tcW w:type="dxa" w:w="2160"/>
            <w:shd w:val="clear" w:color="auto" w:fill="2F5D62"/>
          </w:tcPr>
          <w:p>
            <w:r>
              <w:rPr>
                <w:b/>
                <w:color w:val="FFFFFF"/>
                <w:sz w:val="19"/>
              </w:rPr>
              <w:t>KPI</w:t>
            </w:r>
          </w:p>
        </w:tc>
        <w:tc>
          <w:tcPr>
            <w:tcW w:type="dxa" w:w="2160"/>
            <w:shd w:val="clear" w:color="auto" w:fill="2F5D62"/>
          </w:tcPr>
          <w:p>
            <w:r>
              <w:rPr>
                <w:b/>
                <w:color w:val="FFFFFF"/>
                <w:sz w:val="19"/>
              </w:rPr>
              <w:t>Baseline</w:t>
            </w:r>
          </w:p>
        </w:tc>
        <w:tc>
          <w:tcPr>
            <w:tcW w:type="dxa" w:w="2160"/>
            <w:shd w:val="clear" w:color="auto" w:fill="2F5D62"/>
          </w:tcPr>
          <w:p>
            <w:r>
              <w:rPr>
                <w:b/>
                <w:color w:val="FFFFFF"/>
                <w:sz w:val="19"/>
              </w:rPr>
              <w:t>Target</w:t>
            </w:r>
          </w:p>
        </w:tc>
        <w:tc>
          <w:tcPr>
            <w:tcW w:type="dxa" w:w="2160"/>
            <w:shd w:val="clear" w:color="auto" w:fill="2F5D62"/>
          </w:tcPr>
          <w:p>
            <w:r>
              <w:rPr>
                <w:b/>
                <w:color w:val="FFFFFF"/>
                <w:sz w:val="19"/>
              </w:rPr>
              <w:t>Obiettivo di processo</w:t>
            </w:r>
          </w:p>
        </w:tc>
      </w:tr>
      <w:tr>
        <w:tc>
          <w:tcPr>
            <w:tcW w:type="dxa" w:w="2160"/>
          </w:tcPr>
          <w:p>
            <w:r>
              <w:rPr>
                <w:sz w:val="19"/>
              </w:rPr>
              <w:t>Volume recensioni (tutte le piattaforme)</w:t>
            </w:r>
          </w:p>
        </w:tc>
        <w:tc>
          <w:tcPr>
            <w:tcW w:type="dxa" w:w="2160"/>
          </w:tcPr>
          <w:p>
            <w:r>
              <w:rPr>
                <w:sz w:val="19"/>
              </w:rPr>
              <w:t>3010</w:t>
            </w:r>
          </w:p>
        </w:tc>
        <w:tc>
          <w:tcPr>
            <w:tcW w:type="dxa" w:w="2160"/>
          </w:tcPr>
          <w:p>
            <w:r>
              <w:rPr>
                <w:sz w:val="19"/>
              </w:rPr>
              <w:t>3203</w:t>
            </w:r>
          </w:p>
        </w:tc>
        <w:tc>
          <w:tcPr>
            <w:tcW w:type="dxa" w:w="2160"/>
          </w:tcPr>
          <w:p>
            <w:r>
              <w:rPr>
                <w:sz w:val="19"/>
              </w:rPr>
              <w:t>—</w:t>
            </w:r>
          </w:p>
        </w:tc>
      </w:tr>
      <w:tr>
        <w:tc>
          <w:tcPr>
            <w:tcW w:type="dxa" w:w="2160"/>
            <w:shd w:val="clear" w:color="auto" w:fill="EEF2F1"/>
          </w:tcPr>
          <w:p>
            <w:r>
              <w:rPr>
                <w:sz w:val="19"/>
              </w:rPr>
              <w:t>Quota di prenotazione diretta</w:t>
            </w:r>
          </w:p>
        </w:tc>
        <w:tc>
          <w:tcPr>
            <w:tcW w:type="dxa" w:w="2160"/>
            <w:shd w:val="clear" w:color="auto" w:fill="EEF2F1"/>
          </w:tcPr>
          <w:p>
            <w:r>
              <w:rPr>
                <w:sz w:val="19"/>
              </w:rPr>
              <w:t>—</w:t>
            </w:r>
          </w:p>
        </w:tc>
        <w:tc>
          <w:tcPr>
            <w:tcW w:type="dxa" w:w="2160"/>
            <w:shd w:val="clear" w:color="auto" w:fill="EEF2F1"/>
          </w:tcPr>
          <w:p>
            <w:r>
              <w:rPr>
                <w:sz w:val="19"/>
              </w:rPr>
              <w:t>—</w:t>
            </w:r>
          </w:p>
        </w:tc>
        <w:tc>
          <w:tcPr>
            <w:tcW w:type="dxa" w:w="2160"/>
            <w:shd w:val="clear" w:color="auto" w:fill="EEF2F1"/>
          </w:tcPr>
          <w:p>
            <w:r>
              <w:rPr>
                <w:sz w:val="19"/>
              </w:rPr>
              <w:t>Quota diretta reale non tracciata nella diagnosi: misurare la baseline (booking engine/PMS) prima di fissare un obiettivo numerico.</w:t>
            </w:r>
          </w:p>
        </w:tc>
      </w:tr>
      <w:tr>
        <w:tc>
          <w:tcPr>
            <w:tcW w:type="dxa" w:w="2160"/>
          </w:tcPr>
          <w:p>
            <w:r>
              <w:rPr>
                <w:sz w:val="19"/>
              </w:rPr>
              <w:t>Rating aggregato</w:t>
            </w:r>
          </w:p>
        </w:tc>
        <w:tc>
          <w:tcPr>
            <w:tcW w:type="dxa" w:w="2160"/>
          </w:tcPr>
          <w:p>
            <w:r>
              <w:rPr>
                <w:sz w:val="19"/>
              </w:rPr>
              <w:t>4.53</w:t>
            </w:r>
          </w:p>
        </w:tc>
        <w:tc>
          <w:tcPr>
            <w:tcW w:type="dxa" w:w="2160"/>
          </w:tcPr>
          <w:p>
            <w:r>
              <w:rPr>
                <w:sz w:val="19"/>
              </w:rPr>
              <w:t>—</w:t>
            </w:r>
          </w:p>
        </w:tc>
        <w:tc>
          <w:tcPr>
            <w:tcW w:type="dxa" w:w="2160"/>
          </w:tcPr>
          <w:p>
            <w:r>
              <w:rPr>
                <w:sz w:val="19"/>
              </w:rPr>
              <w:t>KPI di score lento (media cumulata su centinaia di recensioni): non calare sotto la baseline, orizzonti lunghi, nessun salto in 2-3 mesi.</w:t>
            </w:r>
          </w:p>
        </w:tc>
      </w:tr>
    </w:tbl>
    <w:p>
      <w:pPr>
        <w:spacing w:after="160"/>
      </w:pPr>
    </w:p>
    <w:p>
      <w:r>
        <w:t>Le sezioni precedenti hanno indicato dove agire; questa sezione fissa come si controlla che l'azione funzioni. La regola è semplice e vincolante: un numero entra in questa tabella solo se ha una base di partenza misurata, altrimenti resta un obiettivo di processo — impostare la misurazione, non promettere un risultato che non si può ancora quantificare. La cadenza di verifica va sincronizzata con la natura ciclica della struttura: il periodo di chiusura invernale è la finestra per validare l'anno appena chiuso e ricalibrare, il periodo di apertura è la finestra per il monitoraggio operativo corrente.</w:t>
      </w:r>
    </w:p>
    <w:p>
      <w:pPr>
        <w:spacing w:before="160" w:after="40"/>
      </w:pPr>
      <w:r>
        <w:rPr>
          <w:b/>
          <w:color w:val="2F5D62"/>
          <w:sz w:val="24"/>
        </w:rPr>
        <w:t>Cruscotto KPI nord (decision record)</w:t>
      </w:r>
    </w:p>
    <w:tbl>
      <w:tblPr>
        <w:tblStyle w:val="TableGrid"/>
        <w:tblW w:type="auto" w:w="0"/>
        <w:jc w:val="center"/>
        <w:tblLook w:firstColumn="1" w:firstRow="1" w:lastColumn="0" w:lastRow="0" w:noHBand="0" w:noVBand="1" w:val="04A0"/>
      </w:tblPr>
      <w:tblGrid>
        <w:gridCol w:w="2160"/>
        <w:gridCol w:w="2160"/>
        <w:gridCol w:w="2160"/>
        <w:gridCol w:w="2160"/>
      </w:tblGrid>
      <w:tr>
        <w:trPr>
          <w:tblHeader w:val="true"/>
        </w:trPr>
        <w:tc>
          <w:tcPr>
            <w:tcW w:type="dxa" w:w="2160"/>
            <w:shd w:val="clear" w:color="auto" w:fill="2F5D62"/>
          </w:tcPr>
          <w:p>
            <w:r>
              <w:rPr>
                <w:b/>
                <w:color w:val="FFFFFF"/>
                <w:sz w:val="19"/>
              </w:rPr>
              <w:t>KPI</w:t>
            </w:r>
          </w:p>
        </w:tc>
        <w:tc>
          <w:tcPr>
            <w:tcW w:type="dxa" w:w="2160"/>
            <w:shd w:val="clear" w:color="auto" w:fill="2F5D62"/>
          </w:tcPr>
          <w:p>
            <w:r>
              <w:rPr>
                <w:b/>
                <w:color w:val="FFFFFF"/>
                <w:sz w:val="19"/>
              </w:rPr>
              <w:t>Baseline</w:t>
            </w:r>
          </w:p>
        </w:tc>
        <w:tc>
          <w:tcPr>
            <w:tcW w:type="dxa" w:w="2160"/>
            <w:shd w:val="clear" w:color="auto" w:fill="2F5D62"/>
          </w:tcPr>
          <w:p>
            <w:r>
              <w:rPr>
                <w:b/>
                <w:color w:val="FFFFFF"/>
                <w:sz w:val="19"/>
              </w:rPr>
              <w:t>Target/Obiettivo</w:t>
            </w:r>
          </w:p>
        </w:tc>
        <w:tc>
          <w:tcPr>
            <w:tcW w:type="dxa" w:w="2160"/>
            <w:shd w:val="clear" w:color="auto" w:fill="2F5D62"/>
          </w:tcPr>
          <w:p>
            <w:r>
              <w:rPr>
                <w:b/>
                <w:color w:val="FFFFFF"/>
                <w:sz w:val="19"/>
              </w:rPr>
              <w:t>Cadenza</w:t>
            </w:r>
          </w:p>
        </w:tc>
      </w:tr>
      <w:tr>
        <w:tc>
          <w:tcPr>
            <w:tcW w:type="dxa" w:w="2160"/>
          </w:tcPr>
          <w:p>
            <w:r>
              <w:rPr>
                <w:sz w:val="19"/>
              </w:rPr>
              <w:t>Quota diretta su totale prenotazioni</w:t>
            </w:r>
          </w:p>
        </w:tc>
        <w:tc>
          <w:tcPr>
            <w:tcW w:type="dxa" w:w="2160"/>
          </w:tcPr>
          <w:p>
            <w:r>
              <w:rPr>
                <w:sz w:val="19"/>
              </w:rPr>
              <w:t>Non disponibile</w:t>
            </w:r>
          </w:p>
        </w:tc>
        <w:tc>
          <w:tcPr>
            <w:tcW w:type="dxa" w:w="2160"/>
          </w:tcPr>
          <w:p>
            <w:r>
              <w:rPr>
                <w:sz w:val="19"/>
              </w:rPr>
              <w:t>Obiettivo di processo: attivare il tracciamento per canale (diretto vs OTA) e rilevare la baseline reale</w:t>
            </w:r>
          </w:p>
        </w:tc>
        <w:tc>
          <w:tcPr>
            <w:tcW w:type="dxa" w:w="2160"/>
          </w:tcPr>
          <w:p>
            <w:r>
              <w:rPr>
                <w:sz w:val="19"/>
              </w:rPr>
              <w:t>Mensile, da attivazione</w:t>
            </w:r>
          </w:p>
        </w:tc>
      </w:tr>
      <w:tr>
        <w:tc>
          <w:tcPr>
            <w:tcW w:type="dxa" w:w="2160"/>
            <w:shd w:val="clear" w:color="auto" w:fill="EEF2F1"/>
          </w:tcPr>
          <w:p>
            <w:r>
              <w:rPr>
                <w:sz w:val="19"/>
              </w:rPr>
              <w:t>Recensioni TripAdvisor (volume)</w:t>
            </w:r>
          </w:p>
        </w:tc>
        <w:tc>
          <w:tcPr>
            <w:tcW w:type="dxa" w:w="2160"/>
            <w:shd w:val="clear" w:color="auto" w:fill="EEF2F1"/>
          </w:tcPr>
          <w:p>
            <w:r>
              <w:rPr>
                <w:sz w:val="19"/>
              </w:rPr>
              <w:t>1498</w:t>
            </w:r>
          </w:p>
        </w:tc>
        <w:tc>
          <w:tcPr>
            <w:tcW w:type="dxa" w:w="2160"/>
            <w:shd w:val="clear" w:color="auto" w:fill="EEF2F1"/>
          </w:tcPr>
          <w:p>
            <w:r>
              <w:rPr>
                <w:sz w:val="19"/>
              </w:rPr>
              <w:t>Crescita da concordare su orizzonte realistico, non un incremento fisso</w:t>
            </w:r>
          </w:p>
        </w:tc>
        <w:tc>
          <w:tcPr>
            <w:tcW w:type="dxa" w:w="2160"/>
            <w:shd w:val="clear" w:color="auto" w:fill="EEF2F1"/>
          </w:tcPr>
          <w:p>
            <w:r>
              <w:rPr>
                <w:sz w:val="19"/>
              </w:rPr>
              <w:t>Trimestrale</w:t>
            </w:r>
          </w:p>
        </w:tc>
      </w:tr>
      <w:tr>
        <w:tc>
          <w:tcPr>
            <w:tcW w:type="dxa" w:w="2160"/>
          </w:tcPr>
          <w:p>
            <w:r>
              <w:rPr>
                <w:sz w:val="19"/>
              </w:rPr>
              <w:t>Rating aggregato multi-piattaforma</w:t>
            </w:r>
          </w:p>
        </w:tc>
        <w:tc>
          <w:tcPr>
            <w:tcW w:type="dxa" w:w="2160"/>
          </w:tcPr>
          <w:p>
            <w:r>
              <w:rPr>
                <w:sz w:val="19"/>
              </w:rPr>
              <w:t>4,53/5</w:t>
            </w:r>
          </w:p>
        </w:tc>
        <w:tc>
          <w:tcPr>
            <w:tcW w:type="dxa" w:w="2160"/>
          </w:tcPr>
          <w:p>
            <w:r>
              <w:rPr>
                <w:sz w:val="19"/>
              </w:rPr>
              <w:t>Tenuta o miglioramento marginale: è una media cumulata su centinaia di recensioni, si muove lentamente</w:t>
            </w:r>
          </w:p>
        </w:tc>
        <w:tc>
          <w:tcPr>
            <w:tcW w:type="dxa" w:w="2160"/>
          </w:tcPr>
          <w:p>
            <w:r>
              <w:rPr>
                <w:sz w:val="19"/>
              </w:rPr>
              <w:t>Trimestrale (lettura), annuale (valutazione variazione)</w:t>
            </w:r>
          </w:p>
        </w:tc>
      </w:tr>
      <w:tr>
        <w:tc>
          <w:tcPr>
            <w:tcW w:type="dxa" w:w="2160"/>
            <w:shd w:val="clear" w:color="auto" w:fill="EEF2F1"/>
          </w:tcPr>
          <w:p>
            <w:r>
              <w:rPr>
                <w:sz w:val="19"/>
              </w:rPr>
              <w:t>Keyword non-brand presidiate (posizionamento organico)</w:t>
            </w:r>
          </w:p>
        </w:tc>
        <w:tc>
          <w:tcPr>
            <w:tcW w:type="dxa" w:w="2160"/>
            <w:shd w:val="clear" w:color="auto" w:fill="EEF2F1"/>
          </w:tcPr>
          <w:p>
            <w:r>
              <w:rPr>
                <w:sz w:val="19"/>
              </w:rPr>
              <w:t>0 su 33 attribuibili</w:t>
            </w:r>
          </w:p>
        </w:tc>
        <w:tc>
          <w:tcPr>
            <w:tcW w:type="dxa" w:w="2160"/>
            <w:shd w:val="clear" w:color="auto" w:fill="EEF2F1"/>
          </w:tcPr>
          <w:p>
            <w:r>
              <w:rPr>
                <w:sz w:val="19"/>
              </w:rPr>
              <w:t>Obiettivo di processo: presidiare progressivamente le pagine segmento-specifiche (v. sez. 03)</w:t>
            </w:r>
          </w:p>
        </w:tc>
        <w:tc>
          <w:tcPr>
            <w:tcW w:type="dxa" w:w="2160"/>
            <w:shd w:val="clear" w:color="auto" w:fill="EEF2F1"/>
          </w:tcPr>
          <w:p>
            <w:r>
              <w:rPr>
                <w:sz w:val="19"/>
              </w:rPr>
              <w:t>Trimestrale</w:t>
            </w:r>
          </w:p>
        </w:tc>
      </w:tr>
      <w:tr>
        <w:tc>
          <w:tcPr>
            <w:tcW w:type="dxa" w:w="2160"/>
          </w:tcPr>
          <w:p>
            <w:r>
              <w:rPr>
                <w:sz w:val="19"/>
              </w:rPr>
              <w:t>Visibilità su assistenti AI (segmenti prioritari)</w:t>
            </w:r>
          </w:p>
        </w:tc>
        <w:tc>
          <w:tcPr>
            <w:tcW w:type="dxa" w:w="2160"/>
          </w:tcPr>
          <w:p>
            <w:r>
              <w:rPr>
                <w:sz w:val="19"/>
              </w:rPr>
              <w:t>Assente su OpenAI (unico assistente testato con esito valido); Gemini/Perplexity non misurati</w:t>
            </w:r>
          </w:p>
        </w:tc>
        <w:tc>
          <w:tcPr>
            <w:tcW w:type="dxa" w:w="2160"/>
          </w:tcPr>
          <w:p>
            <w:r>
              <w:rPr>
                <w:sz w:val="19"/>
              </w:rPr>
              <w:t>Obiettivo di processo: ripetere l'audit con chiavi API valide su tutti gli assistenti, poi fissare baseline reale</w:t>
            </w:r>
          </w:p>
        </w:tc>
        <w:tc>
          <w:tcPr>
            <w:tcW w:type="dxa" w:w="2160"/>
          </w:tcPr>
          <w:p>
            <w:r>
              <w:rPr>
                <w:sz w:val="19"/>
              </w:rPr>
              <w:t>Alla ripetizione dell'audit, poi semestrale</w:t>
            </w:r>
          </w:p>
        </w:tc>
      </w:tr>
      <w:tr>
        <w:tc>
          <w:tcPr>
            <w:tcW w:type="dxa" w:w="2160"/>
            <w:shd w:val="clear" w:color="auto" w:fill="EEF2F1"/>
          </w:tcPr>
          <w:p>
            <w:r>
              <w:rPr>
                <w:sz w:val="19"/>
              </w:rPr>
              <w:t>Parità tariffaria diretto/OTA su metasearch</w:t>
            </w:r>
          </w:p>
        </w:tc>
        <w:tc>
          <w:tcPr>
            <w:tcW w:type="dxa" w:w="2160"/>
            <w:shd w:val="clear" w:color="auto" w:fill="EEF2F1"/>
          </w:tcPr>
          <w:p>
            <w:r>
              <w:rPr>
                <w:sz w:val="19"/>
              </w:rPr>
              <w:t>Non disponibile</w:t>
            </w:r>
          </w:p>
        </w:tc>
        <w:tc>
          <w:tcPr>
            <w:tcW w:type="dxa" w:w="2160"/>
            <w:shd w:val="clear" w:color="auto" w:fill="EEF2F1"/>
          </w:tcPr>
          <w:p>
            <w:r>
              <w:rPr>
                <w:sz w:val="19"/>
              </w:rPr>
              <w:t>Obiettivo di processo: attivare il monitoraggio strutturato (v. sez. 03/04)</w:t>
            </w:r>
          </w:p>
        </w:tc>
        <w:tc>
          <w:tcPr>
            <w:tcW w:type="dxa" w:w="2160"/>
            <w:shd w:val="clear" w:color="auto" w:fill="EEF2F1"/>
          </w:tcPr>
          <w:p>
            <w:r>
              <w:rPr>
                <w:sz w:val="19"/>
              </w:rPr>
              <w:t>Mensile, da attivazione</w:t>
            </w:r>
          </w:p>
        </w:tc>
      </w:tr>
      <w:tr>
        <w:tc>
          <w:tcPr>
            <w:tcW w:type="dxa" w:w="2160"/>
          </w:tcPr>
          <w:p>
            <w:r>
              <w:rPr>
                <w:sz w:val="19"/>
              </w:rPr>
              <w:t>Costo di acquisizione per canale (diretto vs OTA)</w:t>
            </w:r>
          </w:p>
        </w:tc>
        <w:tc>
          <w:tcPr>
            <w:tcW w:type="dxa" w:w="2160"/>
          </w:tcPr>
          <w:p>
            <w:r>
              <w:rPr>
                <w:sz w:val="19"/>
              </w:rPr>
              <w:t>Non disponibile</w:t>
            </w:r>
          </w:p>
        </w:tc>
        <w:tc>
          <w:tcPr>
            <w:tcW w:type="dxa" w:w="2160"/>
          </w:tcPr>
          <w:p>
            <w:r>
              <w:rPr>
                <w:sz w:val="19"/>
              </w:rPr>
              <w:t>Obiettivo di processo: impostare il tracciamento per canale prima di fissare un target</w:t>
            </w:r>
          </w:p>
        </w:tc>
        <w:tc>
          <w:tcPr>
            <w:tcW w:type="dxa" w:w="2160"/>
          </w:tcPr>
          <w:p>
            <w:r>
              <w:rPr>
                <w:sz w:val="19"/>
              </w:rPr>
              <w:t>Mensile, da attivazione</w:t>
            </w:r>
          </w:p>
        </w:tc>
      </w:tr>
    </w:tbl>
    <w:p>
      <w:pPr>
        <w:spacing w:after="160"/>
      </w:pPr>
    </w:p>
    <w:p>
      <w:r>
        <w:t>I benchmark di settore su costo di acquisizione diretto, commissione OTA e ROAS su brand/metasearch restano riferimenti per validare la performance una volta raccolti i dati reali della struttura, non target assegnati fin da ora: verranno confrontati con la baseline non appena disponibile, senza sostituirla.</w:t>
      </w:r>
    </w:p>
    <w:p>
      <w:pPr>
        <w:spacing w:before="160" w:after="40"/>
      </w:pPr>
      <w:r>
        <w:rPr>
          <w:b/>
          <w:color w:val="2F5D62"/>
          <w:sz w:val="24"/>
        </w:rPr>
        <w:t>Obiettivi misurabili</w:t>
      </w:r>
    </w:p>
    <w:p>
      <w:pPr>
        <w:pStyle w:val="ListBullet"/>
      </w:pPr>
      <w:r>
        <w:t>Attivare entro la chiusura invernale gli accessi e il tracciamento (canale di prenotazione, Search Console, Google Business Profile, motore di prenotazione) necessari a popolare le baseline oggi mancanti in tabella.</w:t>
      </w:r>
    </w:p>
    <w:p>
      <w:pPr>
        <w:pStyle w:val="ListBullet"/>
      </w:pPr>
      <w:r>
        <w:t>Ripetere l'audit di visibilità sugli assistenti AI con credenziali valide su tutti gli assistenti, per sostituire il segnale parziale attuale con una baseline completa sui quattro segmenti prioritari.</w:t>
      </w:r>
    </w:p>
    <w:p>
      <w:pPr>
        <w:pStyle w:val="ListBullet"/>
      </w:pPr>
      <w:r>
        <w:t>Fissare un primo punto di controllo trimestrale su keyword non-brand presidiate e su volume recensioni, coerente con la cadenza già definita in roadmap (v. sez. 05).</w:t>
      </w:r>
    </w:p>
    <w:p>
      <w:pPr>
        <w:spacing w:before="160" w:after="40"/>
      </w:pPr>
      <w:r>
        <w:rPr>
          <w:b/>
          <w:color w:val="2F5D62"/>
          <w:sz w:val="24"/>
        </w:rPr>
        <w:t>Azioni</w:t>
      </w:r>
    </w:p>
    <w:p>
      <w:pPr>
        <w:pStyle w:val="ListBullet"/>
      </w:pPr>
      <w:r>
        <w:t>Nessuna delle metriche di canale (quota diretta, costo di acquisizione, parità tariffaria) ha oggi una base di partenza nei dati disponibili: senza tracciamento attivo qualunque target sarebbe una stima non verificabile, quindi la priorità immediata è mettere in piedi la misurazione stessa — collegare il gestionale/motore di prenotazione a un cruscotto che distingua diretto da OTA — prima di discutere soglie o obiettivi percentuali.</w:t>
      </w:r>
    </w:p>
    <w:p>
      <w:pPr>
        <w:pStyle w:val="ListBullet"/>
      </w:pPr>
      <w:r>
        <w:t>L'audit sugli assistenti AI ha prodotto un esito solo parziale, con due assistenti su tre non interrogabili per un problema tecnico di accesso: prima di investire in interventi di ottimizzazione per la citabilità AI conviene completare la misurazione, così da sapere se il segnale di assenza rilevato su un solo assistente è rappresentativo o isolato.</w:t>
      </w:r>
    </w:p>
    <w:p>
      <w:pPr>
        <w:pStyle w:val="ListBullet"/>
      </w:pPr>
      <w:r>
        <w:t>Il rating aggregato e il volume di recensioni sono indicatori che si muovono per definizione con lentezza, essendo medie cumulate su centinaia di valutazioni: fissare per questi due KPI controlli trimestrali di tendenza (non di scatto), evitando di leggerli con la stessa sensibilità di una metrica di campagna a risposta rapida.</w:t>
      </w:r>
    </w:p>
    <w:p>
      <w:pPr>
        <w:pStyle w:val="ListBullet"/>
      </w:pPr>
      <w:r>
        <w:t>Il posizionamento organico non-brand parte da zero pagine presidiate su un paniere di keyword già quantificato: il controllo trimestrale su questo KPI serve a verificare l'avanzamento delle azioni SEO definite altrove nel piano, non a fissare qui nuovi target di traffico che richiederebbero dati di sessioni non ancora disponibili.</w:t>
      </w:r>
    </w:p>
    <w:p>
      <w:pPr>
        <w:spacing w:before="160" w:after="40"/>
      </w:pPr>
      <w:r>
        <w:rPr>
          <w:b/>
          <w:color w:val="2F5D62"/>
          <w:sz w:val="24"/>
        </w:rPr>
        <w:t>KPI</w:t>
      </w:r>
    </w:p>
    <w:p>
      <w:r>
        <w:t>Il cruscotto di riferimento è la tabella in apertura di sezione: è l'unico punto del piano dove compaiono i KPI numerici, con relativa baseline o, in sua assenza, l'obiettivo di processo corrispondente. Le altre sezioni richiamano questi indicatori (v. sez. 06) senza riproporne i valori.</w:t>
      </w:r>
    </w:p>
    <w:p>
      <w:pPr>
        <w:spacing w:before="160" w:after="40"/>
      </w:pPr>
      <w:r>
        <w:rPr>
          <w:b/>
          <w:color w:val="2F5D62"/>
          <w:sz w:val="24"/>
        </w:rPr>
        <w:t>Note esecutive</w:t>
      </w:r>
    </w:p>
    <w:p>
      <w:pPr>
        <w:pStyle w:val="ListBullet"/>
      </w:pPr>
      <w:r>
        <w:t>Le metriche tariffarie e di rendimento (definizione dei listini, politiche di prezzo dinamico) restano di competenza della struttura e non rientrano in questo cruscotto, che misura distribuzione, acquisizione e visibilità.</w:t>
      </w:r>
    </w:p>
    <w:p>
      <w:pPr>
        <w:pStyle w:val="ListBullet"/>
      </w:pPr>
      <w:r>
        <w:t>La governance operativa prevede un punto di verifica nel periodo di chiusura invernale, dedicato alla lettura consuntiva dell'anno e alla ricalibrazione degli obiettivi di processo in obiettivi numerici via via che le baseline si rendono disponibili.</w:t>
      </w:r>
    </w:p>
    <w:p>
      <w:pPr>
        <w:pStyle w:val="ListBullet"/>
      </w:pPr>
      <w:r>
        <w:t>Ogni KPI oggi privo di baseline va trattato come priorità di raccolta dati, non rimandato: la sezione 08 elenca in modo puntuale gli input mancanti e i relativi responsabili di raccolta.</w:t>
      </w:r>
    </w:p>
    <w:p>
      <w:r>
        <w:br w:type="page"/>
      </w:r>
    </w:p>
    <w:p>
      <w:pPr>
        <w:spacing w:after="0"/>
      </w:pPr>
      <w:r>
        <w:rPr>
          <w:b/>
          <w:color w:val="2F5D62"/>
          <w:sz w:val="18"/>
        </w:rPr>
        <w:t>SEZIONE 07</w:t>
      </w:r>
    </w:p>
    <w:p>
      <w:pPr>
        <w:spacing w:after="200"/>
        <w:pBdr>
          <w:bottom w:val="single" w:sz="18" w:space="6" w:color="2F5D62"/>
        </w:pBdr>
      </w:pPr>
      <w:r>
        <w:rPr>
          <w:b/>
          <w:color w:val="1A1A2E"/>
          <w:sz w:val="40"/>
        </w:rPr>
        <w:t>Budget (ripartizione %)</w:t>
      </w:r>
    </w:p>
    <w:p>
      <w:pPr>
        <w:spacing w:before="160" w:after="40"/>
      </w:pPr>
      <w:r>
        <w:rPr>
          <w:b/>
          <w:color w:val="2F5D62"/>
          <w:sz w:val="24"/>
        </w:rPr>
        <w:t>Ripartizione del budget (%, decision record)</w:t>
      </w:r>
    </w:p>
    <w:p>
      <w:r>
        <w:t>Budget marketing indicativo: 3-4% del ricavo (stadio: maturità). Ripartizione % per canale; gli importi in euro sono nell'allegato economico a cura dell'agenzia.</w:t>
      </w:r>
    </w:p>
    <w:tbl>
      <w:tblPr>
        <w:tblStyle w:val="TableGrid"/>
        <w:tblW w:type="auto" w:w="0"/>
        <w:jc w:val="center"/>
        <w:tblLook w:firstColumn="1" w:firstRow="1" w:lastColumn="0" w:lastRow="0" w:noHBand="0" w:noVBand="1" w:val="04A0"/>
      </w:tblPr>
      <w:tblGrid>
        <w:gridCol w:w="2880"/>
        <w:gridCol w:w="2880"/>
        <w:gridCol w:w="2880"/>
      </w:tblGrid>
      <w:tr>
        <w:trPr>
          <w:tblHeader w:val="true"/>
        </w:trPr>
        <w:tc>
          <w:tcPr>
            <w:tcW w:type="dxa" w:w="2880"/>
            <w:shd w:val="clear" w:color="auto" w:fill="2F5D62"/>
          </w:tcPr>
          <w:p>
            <w:r>
              <w:rPr>
                <w:b/>
                <w:color w:val="FFFFFF"/>
                <w:sz w:val="19"/>
              </w:rPr>
              <w:t>Canale</w:t>
            </w:r>
          </w:p>
        </w:tc>
        <w:tc>
          <w:tcPr>
            <w:tcW w:type="dxa" w:w="2880"/>
            <w:shd w:val="clear" w:color="auto" w:fill="2F5D62"/>
          </w:tcPr>
          <w:p>
            <w:r>
              <w:rPr>
                <w:b/>
                <w:color w:val="FFFFFF"/>
                <w:sz w:val="19"/>
              </w:rPr>
              <w:t>Ripartizione %</w:t>
            </w:r>
          </w:p>
        </w:tc>
        <w:tc>
          <w:tcPr>
            <w:tcW w:type="dxa" w:w="2880"/>
            <w:shd w:val="clear" w:color="auto" w:fill="2F5D62"/>
          </w:tcPr>
          <w:p>
            <w:r>
              <w:rPr>
                <w:b/>
                <w:color w:val="FFFFFF"/>
                <w:sz w:val="19"/>
              </w:rPr>
              <w:t>Verdetto</w:t>
            </w:r>
          </w:p>
        </w:tc>
      </w:tr>
      <w:tr>
        <w:tc>
          <w:tcPr>
            <w:tcW w:type="dxa" w:w="2880"/>
          </w:tcPr>
          <w:p>
            <w:r>
              <w:rPr>
                <w:sz w:val="19"/>
              </w:rPr>
              <w:t>SEO organico</w:t>
            </w:r>
          </w:p>
        </w:tc>
        <w:tc>
          <w:tcPr>
            <w:tcW w:type="dxa" w:w="2880"/>
          </w:tcPr>
          <w:p>
            <w:r>
              <w:rPr>
                <w:sz w:val="19"/>
              </w:rPr>
              <w:t>15-25%</w:t>
            </w:r>
          </w:p>
        </w:tc>
        <w:tc>
          <w:tcPr>
            <w:tcW w:type="dxa" w:w="2880"/>
          </w:tcPr>
          <w:p>
            <w:r>
              <w:rPr>
                <w:sz w:val="19"/>
              </w:rPr>
              <w:t>Attivare (prioritario)</w:t>
            </w:r>
          </w:p>
        </w:tc>
      </w:tr>
      <w:tr>
        <w:tc>
          <w:tcPr>
            <w:tcW w:type="dxa" w:w="2880"/>
            <w:shd w:val="clear" w:color="auto" w:fill="EEF2F1"/>
          </w:tcPr>
          <w:p>
            <w:r>
              <w:rPr>
                <w:sz w:val="19"/>
              </w:rPr>
              <w:t>Search advertising (Google Ads)</w:t>
            </w:r>
          </w:p>
        </w:tc>
        <w:tc>
          <w:tcPr>
            <w:tcW w:type="dxa" w:w="2880"/>
            <w:shd w:val="clear" w:color="auto" w:fill="EEF2F1"/>
          </w:tcPr>
          <w:p>
            <w:r>
              <w:rPr>
                <w:sz w:val="19"/>
              </w:rPr>
              <w:t>30-40%</w:t>
            </w:r>
          </w:p>
        </w:tc>
        <w:tc>
          <w:tcPr>
            <w:tcW w:type="dxa" w:w="2880"/>
            <w:shd w:val="clear" w:color="auto" w:fill="EEF2F1"/>
          </w:tcPr>
          <w:p>
            <w:r>
              <w:rPr>
                <w:sz w:val="19"/>
              </w:rPr>
              <w:t>Attivare (stagionale)</w:t>
            </w:r>
          </w:p>
        </w:tc>
      </w:tr>
      <w:tr>
        <w:tc>
          <w:tcPr>
            <w:tcW w:type="dxa" w:w="2880"/>
          </w:tcPr>
          <w:p>
            <w:r>
              <w:rPr>
                <w:sz w:val="19"/>
              </w:rPr>
              <w:t>Metasearch (Google Hotel Ads, Trivago)</w:t>
            </w:r>
          </w:p>
        </w:tc>
        <w:tc>
          <w:tcPr>
            <w:tcW w:type="dxa" w:w="2880"/>
          </w:tcPr>
          <w:p>
            <w:r>
              <w:rPr>
                <w:sz w:val="19"/>
              </w:rPr>
              <w:t>30-40%</w:t>
            </w:r>
          </w:p>
        </w:tc>
        <w:tc>
          <w:tcPr>
            <w:tcW w:type="dxa" w:w="2880"/>
          </w:tcPr>
          <w:p>
            <w:r>
              <w:rPr>
                <w:sz w:val="19"/>
              </w:rPr>
              <w:t>Attivare</w:t>
            </w:r>
          </w:p>
        </w:tc>
      </w:tr>
      <w:tr>
        <w:tc>
          <w:tcPr>
            <w:tcW w:type="dxa" w:w="2880"/>
            <w:shd w:val="clear" w:color="auto" w:fill="EEF2F1"/>
          </w:tcPr>
          <w:p>
            <w:r>
              <w:rPr>
                <w:sz w:val="19"/>
              </w:rPr>
              <w:t>Sito &amp; booking diretto</w:t>
            </w:r>
          </w:p>
        </w:tc>
        <w:tc>
          <w:tcPr>
            <w:tcW w:type="dxa" w:w="2880"/>
            <w:shd w:val="clear" w:color="auto" w:fill="EEF2F1"/>
          </w:tcPr>
          <w:p>
            <w:r>
              <w:rPr>
                <w:sz w:val="19"/>
              </w:rPr>
              <w:t>15-25%</w:t>
            </w:r>
          </w:p>
        </w:tc>
        <w:tc>
          <w:tcPr>
            <w:tcW w:type="dxa" w:w="2880"/>
            <w:shd w:val="clear" w:color="auto" w:fill="EEF2F1"/>
          </w:tcPr>
          <w:p>
            <w:r>
              <w:rPr>
                <w:sz w:val="19"/>
              </w:rPr>
              <w:t>Attivare (prioritario)</w:t>
            </w:r>
          </w:p>
        </w:tc>
      </w:tr>
      <w:tr>
        <w:tc>
          <w:tcPr>
            <w:tcW w:type="dxa" w:w="2880"/>
          </w:tcPr>
          <w:p>
            <w:r>
              <w:rPr>
                <w:sz w:val="19"/>
              </w:rPr>
              <w:t>Social organico</w:t>
            </w:r>
          </w:p>
        </w:tc>
        <w:tc>
          <w:tcPr>
            <w:tcW w:type="dxa" w:w="2880"/>
          </w:tcPr>
          <w:p>
            <w:r>
              <w:rPr>
                <w:sz w:val="19"/>
              </w:rPr>
              <w:t>15-25%</w:t>
            </w:r>
          </w:p>
        </w:tc>
        <w:tc>
          <w:tcPr>
            <w:tcW w:type="dxa" w:w="2880"/>
          </w:tcPr>
          <w:p>
            <w:r>
              <w:rPr>
                <w:sz w:val="19"/>
              </w:rPr>
              <w:t>Rafforzare</w:t>
            </w:r>
          </w:p>
        </w:tc>
      </w:tr>
      <w:tr>
        <w:tc>
          <w:tcPr>
            <w:tcW w:type="dxa" w:w="2880"/>
            <w:shd w:val="clear" w:color="auto" w:fill="EEF2F1"/>
          </w:tcPr>
          <w:p>
            <w:r>
              <w:rPr>
                <w:sz w:val="19"/>
              </w:rPr>
              <w:t>Mercato DACH (area di lingua tedesca)</w:t>
            </w:r>
          </w:p>
        </w:tc>
        <w:tc>
          <w:tcPr>
            <w:tcW w:type="dxa" w:w="2880"/>
            <w:shd w:val="clear" w:color="auto" w:fill="EEF2F1"/>
          </w:tcPr>
          <w:p>
            <w:r>
              <w:rPr>
                <w:sz w:val="19"/>
              </w:rPr>
              <w:t>10-15%</w:t>
            </w:r>
          </w:p>
        </w:tc>
        <w:tc>
          <w:tcPr>
            <w:tcW w:type="dxa" w:w="2880"/>
            <w:shd w:val="clear" w:color="auto" w:fill="EEF2F1"/>
          </w:tcPr>
          <w:p>
            <w:r>
              <w:rPr>
                <w:sz w:val="19"/>
              </w:rPr>
              <w:t>Attivare</w:t>
            </w:r>
          </w:p>
        </w:tc>
      </w:tr>
      <w:tr>
        <w:tc>
          <w:tcPr>
            <w:tcW w:type="dxa" w:w="2880"/>
          </w:tcPr>
          <w:p>
            <w:r>
              <w:rPr>
                <w:sz w:val="19"/>
              </w:rPr>
              <w:t>Segmento business / MICE</w:t>
            </w:r>
          </w:p>
        </w:tc>
        <w:tc>
          <w:tcPr>
            <w:tcW w:type="dxa" w:w="2880"/>
          </w:tcPr>
          <w:p>
            <w:r>
              <w:rPr>
                <w:sz w:val="19"/>
              </w:rPr>
              <w:t>5-10%</w:t>
            </w:r>
          </w:p>
        </w:tc>
        <w:tc>
          <w:tcPr>
            <w:tcW w:type="dxa" w:w="2880"/>
          </w:tcPr>
          <w:p>
            <w:r>
              <w:rPr>
                <w:sz w:val="19"/>
              </w:rPr>
              <w:t>Attivare</w:t>
            </w:r>
          </w:p>
        </w:tc>
      </w:tr>
    </w:tbl>
    <w:p>
      <w:pPr>
        <w:spacing w:after="160"/>
      </w:pPr>
    </w:p>
    <w:p>
      <w:r>
        <w:t>Riferimenti di settore (agency/vendor, da validare sui dati reali del cliente — la ripartizione operativa resta quella della tabella qui sopra): search e metasearch dal 30% al 40%; social e video dal 15% al 25%; SEO, contenuti e presenza locale dal 15% al 25%; email e CRM dal 10% al 15%; display e retargeting dal 5% al 10%; riallocazione trimestrale dal 10% al 20% in base ai risultati per canale.</w:t>
      </w:r>
    </w:p>
    <w:p>
      <w:r>
        <w:t>La ripartizione traduce in percentuali quanto già emerso nella matrice di canale (v. sez. 03): il gap più urgente è il presidio organico e diretto, non l'ennesimo euro su canali già intermediati. Search &amp; metasearch e SEO/local assorbono insieme la quota maggiore perché sono le leve che aggrediscono direttamente le 33 keyword non presidiate e il posizionamento sulle pagine segmento-specifiche (spa/coppia, famiglia, business): senza questo presidio, ogni euro speso altrove lavora su un terreno dove l'hotel è invisibile in fase di ricerca. Email/CRM riceve una quota piena e non residuale perché il mix di clientela reale è a forte vocazione di ripetizione (coppie e famiglie, v. sez. 02): qui il ritorno per euro investito è strutturalmente più alto che in acquisizione fredda. Social/video e display restano canali di supporto, non traino: alimentano la parte alta del funnel (ispirazione, awareness sui mercati esteri) ma non sostituiscono il lavoro su search e CRM.</w:t>
      </w:r>
    </w:p>
    <w:p>
      <w:pPr>
        <w:spacing w:before="160" w:after="40"/>
      </w:pPr>
      <w:r>
        <w:rPr>
          <w:b/>
          <w:color w:val="2F5D62"/>
          <w:sz w:val="24"/>
        </w:rPr>
        <w:t>Obiettivi misurabili</w:t>
      </w:r>
    </w:p>
    <w:p>
      <w:pPr>
        <w:pStyle w:val="ListBullet"/>
      </w:pPr>
      <w:r>
        <w:t>Impostare il tracciamento della spesa e del rendimento per canale (CAC/CoA per canale), oggi non disponibile come baseline (v. sez. 08)</w:t>
      </w:r>
    </w:p>
    <w:p>
      <w:pPr>
        <w:pStyle w:val="ListBullet"/>
      </w:pPr>
      <w:r>
        <w:t>Portare la quota SEO/local dal presidio quasi nullo attuale a una copertura misurabile sulle pagine segmento-specifiche entro la finestra di cantiere invernale (v. sez. 05)</w:t>
      </w:r>
    </w:p>
    <w:p>
      <w:pPr>
        <w:pStyle w:val="ListBullet"/>
      </w:pPr>
      <w:r>
        <w:t>Attivare la riallocazione trimestrale del budget sulla base del rendimento per canale, come processo ricorrente e non come evento una tantum</w:t>
      </w:r>
    </w:p>
    <w:p>
      <w:pPr>
        <w:spacing w:before="160" w:after="40"/>
      </w:pPr>
      <w:r>
        <w:rPr>
          <w:b/>
          <w:color w:val="2F5D62"/>
          <w:sz w:val="24"/>
        </w:rPr>
        <w:t>Azioni</w:t>
      </w:r>
    </w:p>
    <w:p>
      <w:pPr>
        <w:pStyle w:val="ListBullet"/>
      </w:pPr>
      <w:r>
        <w:t>La quota più alta su search &amp; metasearch si giustifica con il gap organico già rilevato (v. sez. 03): finché il sito non presidia le query ad alto volume, il traffico a pagamento su brand e non-brand resta l'unico modo per comparire nel momento della ricerca. Il rischio è che, senza parità tariffaria verificata, questa spesa alimenti la conversione OTA invece del booking engine diretto: l'azione è vincolare l'attivazione della quota search/metasearch alla verifica di parità già proposta in sez. 03/04, e non scorporarla da quel controllo.</w:t>
      </w:r>
    </w:p>
    <w:p>
      <w:pPr>
        <w:pStyle w:val="ListBullet"/>
      </w:pPr>
      <w:r>
        <w:t>La quota SEO &amp; content &amp; local va aperta prioritariamente sulle pagine segmento (famiglia, spa/coppia, business) e sui dati strutturati mancanti, coerentemente con il cantiere tecnico collocato nella chiusura invernale (v. sez. 05): investire qui fuori da quella finestra significa disperdere budget su un sito non ancora pronto a capitalizzarlo.</w:t>
      </w:r>
    </w:p>
    <w:p>
      <w:pPr>
        <w:pStyle w:val="ListBullet"/>
      </w:pPr>
      <w:r>
        <w:t>La quota email/CRM va attivata in apertura di stagione sui mercati e segmenti a maggiore propensione di ritorno (coppie e famiglie, v. sez. 02), con priorità sulla comunicazione di riapertura verso gli ospiti già acquisiti prima di aprire la spesa fredda sugli stessi segmenti: il costo di riattivare un ospite già in portafoglio è strutturalmente più basso di quello di acquisirne uno nuovo, e questa sequenza va rispettata nell'ordine di attivazione della spesa, non solo nel peso percentuale.</w:t>
      </w:r>
    </w:p>
    <w:p>
      <w:pPr>
        <w:pStyle w:val="ListBullet"/>
      </w:pPr>
      <w:r>
        <w:t>La quota social &amp; video, pur secondaria, va calibrata sui mercati esteri raggiungibili individuati in sez. 04 (in primis il tedesco, dove la reputazione è già forte ma la quota ospiti minoritaria): qui il canale lavora more come costruzione di consapevolezza che come acquisizione diretta, e va misurato di conseguenza.</w:t>
      </w:r>
    </w:p>
    <w:p>
      <w:pPr>
        <w:pStyle w:val="ListBullet"/>
      </w:pPr>
      <w:r>
        <w:t>La quota display/retargeting resta la più contenuta e va trattata come budget di sperimentazione: attivarla solo dopo aver messo in piedi il tracciamento di base (v. Note esecutive), altrimenti si spende senza poter attribuire il risultato.</w:t>
      </w:r>
    </w:p>
    <w:p>
      <w:pPr>
        <w:pStyle w:val="ListBullet"/>
      </w:pPr>
      <w:r>
        <w:t>La riallocazione trimestrale (il correttivo previsto dal benchmark di settore sul 10-20% del budget) va applicata solo una volta disponibili i primi dati di rendimento per canale: prima di quel momento la tabella qui sopra è il punto di partenza, non un vincolo rigido da 12 mesi.</w:t>
      </w:r>
    </w:p>
    <w:p>
      <w:pPr>
        <w:spacing w:before="160" w:after="40"/>
      </w:pPr>
      <w:r>
        <w:rPr>
          <w:b/>
          <w:color w:val="2F5D62"/>
          <w:sz w:val="24"/>
        </w:rPr>
        <w:t>KPI</w:t>
      </w:r>
    </w:p>
    <w:p>
      <w:r>
        <w:t>I KPI di controllo per canale sono definiti in sez. 06 (v. sez. 06); qui si tracciano solo la coerenza dell'allocazione con la spesa effettiva e la cadenza della riallocazione trimestrale.</w:t>
      </w:r>
    </w:p>
    <w:p>
      <w:pPr>
        <w:spacing w:before="160" w:after="40"/>
      </w:pPr>
      <w:r>
        <w:rPr>
          <w:b/>
          <w:color w:val="2F5D62"/>
          <w:sz w:val="24"/>
        </w:rPr>
        <w:t>Note esecutive</w:t>
      </w:r>
    </w:p>
    <w:p>
      <w:pPr>
        <w:pStyle w:val="ListBullet"/>
      </w:pPr>
      <w:r>
        <w:t>La tabella esprime una ripartizione percentuale del budget digitale attivabile, non un importo assoluto: la conversione in valore economico richiede il ricavo reale della struttura, oggi non disponibile (v. sez. 08).</w:t>
      </w:r>
    </w:p>
    <w:p>
      <w:pPr>
        <w:pStyle w:val="ListBullet"/>
      </w:pPr>
      <w:r>
        <w:t>L'allocazione fuori dal digitale (canali tradizionali) non è coperta da questa tabella e non rientra nel perimetro di questo piano.</w:t>
      </w:r>
    </w:p>
    <w:p>
      <w:pPr>
        <w:pStyle w:val="ListBullet"/>
      </w:pPr>
      <w:r>
        <w:t>Prima di attivare la spesa search/metasearch e display, va chiuso il gap di tracciamento (GA4, Search Console, Google Business Profile, booking engine) segnalato come input mancante in sez. 08: senza quella base, la riallocazione trimestrale non ha dati su cui fondarsi.</w:t>
      </w:r>
    </w:p>
    <w:p>
      <w:pPr>
        <w:pStyle w:val="ListBullet"/>
      </w:pPr>
      <w:r>
        <w:t>Le metriche tariffarie e di rendimento restano di competenza della struttura; questo piano non tocca prezzi e listini se non come vetrina.</w:t>
      </w:r>
    </w:p>
    <w:p>
      <w:r>
        <w:br w:type="page"/>
      </w:r>
    </w:p>
    <w:p>
      <w:pPr>
        <w:spacing w:after="0"/>
      </w:pPr>
      <w:r>
        <w:rPr>
          <w:b/>
          <w:color w:val="2F5D62"/>
          <w:sz w:val="18"/>
        </w:rPr>
        <w:t>APPENDICE</w:t>
      </w:r>
    </w:p>
    <w:p>
      <w:pPr>
        <w:spacing w:after="200"/>
        <w:pBdr>
          <w:bottom w:val="single" w:sz="18" w:space="6" w:color="2F5D62"/>
        </w:pBdr>
      </w:pPr>
      <w:r>
        <w:rPr>
          <w:b/>
          <w:color w:val="1A1A2E"/>
          <w:sz w:val="40"/>
        </w:rPr>
        <w:t>Assunzioni &amp; input mancanti</w:t>
      </w:r>
    </w:p>
    <w:p>
      <w:r>
        <w:t>Questo piano è costruito per essere eseguibile subito, ma alcune sue leve restano condizionate da dati che oggi non sono in nostro possesso: senza raccoglierli, la struttura rischia di investire su ipotesi anziché su evidenze. Il perimetro di questa sezione è duplice: da un lato i benchmark di settore usati come riferimento, da rendere propri solo dopo validazione con i numeri reali della struttura; dall'altro gli accessi e i dati cliente da acquisire per trasformare obiettivi di processo in obiettivi numerici. Le metriche tariffarie e di rendimento (adeguamento prezzi, listini, occupazione) restano in ogni caso di competenza della struttura e non rientrano in questo piano, se non come input da tracciare a beneficio delle decisioni di revenue management del cliente stesso.</w:t>
      </w:r>
    </w:p>
    <w:p>
      <w:pPr>
        <w:spacing w:before="160" w:after="40"/>
      </w:pPr>
      <w:r>
        <w:rPr>
          <w:b/>
          <w:color w:val="2F5D62"/>
          <w:sz w:val="24"/>
        </w:rPr>
        <w:t>Benchmark di settore utilizzati (da validare, non target del cliente)</w:t>
      </w:r>
    </w:p>
    <w:tbl>
      <w:tblPr>
        <w:tblStyle w:val="TableGrid"/>
        <w:tblW w:type="auto" w:w="0"/>
        <w:jc w:val="center"/>
        <w:tblLook w:firstColumn="1" w:firstRow="1" w:lastColumn="0" w:lastRow="0" w:noHBand="0" w:noVBand="1" w:val="04A0"/>
      </w:tblPr>
      <w:tblGrid>
        <w:gridCol w:w="2880"/>
        <w:gridCol w:w="2880"/>
        <w:gridCol w:w="2880"/>
      </w:tblGrid>
      <w:tr>
        <w:trPr>
          <w:tblHeader w:val="true"/>
        </w:trPr>
        <w:tc>
          <w:tcPr>
            <w:tcW w:type="dxa" w:w="2880"/>
            <w:shd w:val="clear" w:color="auto" w:fill="2F5D62"/>
          </w:tcPr>
          <w:p>
            <w:r>
              <w:rPr>
                <w:b/>
                <w:color w:val="FFFFFF"/>
                <w:sz w:val="19"/>
              </w:rPr>
              <w:t>Benchmark</w:t>
            </w:r>
          </w:p>
        </w:tc>
        <w:tc>
          <w:tcPr>
            <w:tcW w:type="dxa" w:w="2880"/>
            <w:shd w:val="clear" w:color="auto" w:fill="2F5D62"/>
          </w:tcPr>
          <w:p>
            <w:r>
              <w:rPr>
                <w:b/>
                <w:color w:val="FFFFFF"/>
                <w:sz w:val="19"/>
              </w:rPr>
              <w:t>Valore di riferimento</w:t>
            </w:r>
          </w:p>
        </w:tc>
        <w:tc>
          <w:tcPr>
            <w:tcW w:type="dxa" w:w="2880"/>
            <w:shd w:val="clear" w:color="auto" w:fill="2F5D62"/>
          </w:tcPr>
          <w:p>
            <w:r>
              <w:rPr>
                <w:b/>
                <w:color w:val="FFFFFF"/>
                <w:sz w:val="19"/>
              </w:rPr>
              <w:t>Natura ed uso nel piano</w:t>
            </w:r>
          </w:p>
        </w:tc>
      </w:tr>
      <w:tr>
        <w:tc>
          <w:tcPr>
            <w:tcW w:type="dxa" w:w="2880"/>
          </w:tcPr>
          <w:p>
            <w:r>
              <w:rPr>
                <w:sz w:val="19"/>
              </w:rPr>
              <w:t>Costo di acquisizione diretto vs OTA</w:t>
            </w:r>
          </w:p>
        </w:tc>
        <w:tc>
          <w:tcPr>
            <w:tcW w:type="dxa" w:w="2880"/>
          </w:tcPr>
          <w:p>
            <w:r>
              <w:rPr>
                <w:sz w:val="19"/>
              </w:rPr>
              <w:t>CoA diretto ~4-5% del ricavo camere; commissione OTA 15-30%</w:t>
            </w:r>
          </w:p>
        </w:tc>
        <w:tc>
          <w:tcPr>
            <w:tcW w:type="dxa" w:w="2880"/>
          </w:tcPr>
          <w:p>
            <w:r>
              <w:rPr>
                <w:sz w:val="19"/>
              </w:rPr>
              <w:t>Riferimento di settore citato per motivare la priorità sul canale diretto (sez. 03-04); da sostituire con il costo di acquisizione reale della struttura appena disponibile</w:t>
            </w:r>
          </w:p>
        </w:tc>
      </w:tr>
      <w:tr>
        <w:tc>
          <w:tcPr>
            <w:tcW w:type="dxa" w:w="2880"/>
            <w:shd w:val="clear" w:color="auto" w:fill="EEF2F1"/>
          </w:tcPr>
          <w:p>
            <w:r>
              <w:rPr>
                <w:sz w:val="19"/>
              </w:rPr>
              <w:t>CAC per canale</w:t>
            </w:r>
          </w:p>
        </w:tc>
        <w:tc>
          <w:tcPr>
            <w:tcW w:type="dxa" w:w="2880"/>
            <w:shd w:val="clear" w:color="auto" w:fill="EEF2F1"/>
          </w:tcPr>
          <w:p>
            <w:r>
              <w:rPr>
                <w:sz w:val="19"/>
              </w:rPr>
              <w:t>Diretto ~15-25 €; OTA ~35-60 €</w:t>
            </w:r>
          </w:p>
        </w:tc>
        <w:tc>
          <w:tcPr>
            <w:tcW w:type="dxa" w:w="2880"/>
            <w:shd w:val="clear" w:color="auto" w:fill="EEF2F1"/>
          </w:tcPr>
          <w:p>
            <w:r>
              <w:rPr>
                <w:sz w:val="19"/>
              </w:rPr>
              <w:t>Ordine di grandezza usato solo come cornice concettuale, mai come cifra assegnata all'Hotel Ambasciatori</w:t>
            </w:r>
          </w:p>
        </w:tc>
      </w:tr>
      <w:tr>
        <w:tc>
          <w:tcPr>
            <w:tcW w:type="dxa" w:w="2880"/>
          </w:tcPr>
          <w:p>
            <w:r>
              <w:rPr>
                <w:sz w:val="19"/>
              </w:rPr>
              <w:t>ROAS indicativo brand/metasearch</w:t>
            </w:r>
          </w:p>
        </w:tc>
        <w:tc>
          <w:tcPr>
            <w:tcW w:type="dxa" w:w="2880"/>
          </w:tcPr>
          <w:p>
            <w:r>
              <w:rPr>
                <w:sz w:val="19"/>
              </w:rPr>
              <w:t>~8:1 per indipendenti</w:t>
            </w:r>
          </w:p>
        </w:tc>
        <w:tc>
          <w:tcPr>
            <w:tcW w:type="dxa" w:w="2880"/>
          </w:tcPr>
          <w:p>
            <w:r>
              <w:rPr>
                <w:sz w:val="19"/>
              </w:rPr>
              <w:t>Riferimento per impostare il monitoraggio delle campagne su brand/metasearch (sez. 03); non è un target contrattuale</w:t>
            </w:r>
          </w:p>
        </w:tc>
      </w:tr>
      <w:tr>
        <w:tc>
          <w:tcPr>
            <w:tcW w:type="dxa" w:w="2880"/>
            <w:shd w:val="clear" w:color="auto" w:fill="EEF2F1"/>
          </w:tcPr>
          <w:p>
            <w:r>
              <w:rPr>
                <w:sz w:val="19"/>
              </w:rPr>
              <w:t>Ripartizione budget marketing</w:t>
            </w:r>
          </w:p>
        </w:tc>
        <w:tc>
          <w:tcPr>
            <w:tcW w:type="dxa" w:w="2880"/>
            <w:shd w:val="clear" w:color="auto" w:fill="EEF2F1"/>
          </w:tcPr>
          <w:p>
            <w:r>
              <w:rPr>
                <w:sz w:val="19"/>
              </w:rPr>
              <w:t>Split percentuale digitale/tradizionale e per voce (sez. 07)</w:t>
            </w:r>
          </w:p>
        </w:tc>
        <w:tc>
          <w:tcPr>
            <w:tcW w:type="dxa" w:w="2880"/>
            <w:shd w:val="clear" w:color="auto" w:fill="EEF2F1"/>
          </w:tcPr>
          <w:p>
            <w:r>
              <w:rPr>
                <w:sz w:val="19"/>
              </w:rPr>
              <w:t>Ripartizione basata su prassi di settore e sulla matrice di canale del piano; l'importo assoluto in € dipende dal ricavo reale, non disponibile in questa fase</w:t>
            </w:r>
          </w:p>
        </w:tc>
      </w:tr>
      <w:tr>
        <w:tc>
          <w:tcPr>
            <w:tcW w:type="dxa" w:w="2880"/>
          </w:tcPr>
          <w:p>
            <w:r>
              <w:rPr>
                <w:sz w:val="19"/>
              </w:rPr>
              <w:t>Direct-booking ratio 'sano'</w:t>
            </w:r>
          </w:p>
        </w:tc>
        <w:tc>
          <w:tcPr>
            <w:tcW w:type="dxa" w:w="2880"/>
          </w:tcPr>
          <w:p>
            <w:r>
              <w:rPr>
                <w:sz w:val="19"/>
              </w:rPr>
              <w:t>Nessun valore universale: dipende da notorietà, stagione, capacità marketing</w:t>
            </w:r>
          </w:p>
        </w:tc>
        <w:tc>
          <w:tcPr>
            <w:tcW w:type="dxa" w:w="2880"/>
          </w:tcPr>
          <w:p>
            <w:r>
              <w:rPr>
                <w:sz w:val="19"/>
              </w:rPr>
              <w:t>Non fissato alcun target numerico nel piano: l'obiettivo va stabilito solo dopo aver rilevato la baseline reale della struttura</w:t>
            </w:r>
          </w:p>
        </w:tc>
      </w:tr>
    </w:tbl>
    <w:p>
      <w:pPr>
        <w:spacing w:after="160"/>
      </w:pPr>
    </w:p>
    <w:p>
      <w:pPr>
        <w:spacing w:before="160" w:after="40"/>
      </w:pPr>
      <w:r>
        <w:rPr>
          <w:b/>
          <w:color w:val="2F5D62"/>
          <w:sz w:val="24"/>
        </w:rPr>
        <w:t>Obiettivi misurabili</w:t>
      </w:r>
    </w:p>
    <w:p>
      <w:pPr>
        <w:pStyle w:val="ListBullet"/>
      </w:pPr>
      <w:r>
        <w:t>Acquisire, entro l'avvio del prossimo ciclo di pianificazione, tutti gli accessi e i dati cliente elencati in questa sezione, come precondizione per trasformare in KPI numerici gli obiettivi di processo indicati nelle sezioni 02-06</w:t>
      </w:r>
    </w:p>
    <w:p>
      <w:pPr>
        <w:pStyle w:val="ListBullet"/>
      </w:pPr>
      <w:r>
        <w:t>Sostituire ogni benchmark di settore citato nel piano con il dato reale corrispondente non appena disponibile, aggiornando di conseguenza gli obiettivi di sezione 06</w:t>
      </w:r>
    </w:p>
    <w:p>
      <w:pPr>
        <w:spacing w:before="160" w:after="40"/>
      </w:pPr>
      <w:r>
        <w:rPr>
          <w:b/>
          <w:color w:val="2F5D62"/>
          <w:sz w:val="24"/>
        </w:rPr>
        <w:t>Azioni</w:t>
      </w:r>
    </w:p>
    <w:p>
      <w:pPr>
        <w:pStyle w:val="ListBullet"/>
      </w:pPr>
      <w:r>
        <w:t>La quota di prenotazioni dirette e il relativo costo di acquisizione non sono oggi noti alla struttura in forma storica: senza questa baseline non è possibile fissare un obiettivo numerico di spostamento verso il diretto, solo un obiettivo di processo (misurare, poi decidere la soglia). Va quindi richiesto al cliente l'estratto storico delle prenotazioni per canale (diretto vs singola OTA) degli ultimi cicli stagionali comparabili, così da costruire la baseline reale su cui ancorare gli obiettivi di sezione 03-04.</w:t>
      </w:r>
    </w:p>
    <w:p>
      <w:pPr>
        <w:pStyle w:val="ListBullet"/>
      </w:pPr>
      <w:r>
        <w:t>Il budget marketing effettivo della struttura non è stato fornito: la ripartizione percentuale proposta in sezione 07 resta quindi orientativa finché non è verificata contro il ricavo reale e lo stanziamento attuale. Va richiesto al cliente il budget marketing dell'ultimo esercizio (o l'ordine di grandezza, se il dato esatto non è disponibile) per tradurre la ripartizione percentuale in un piano di spesa operativo.</w:t>
      </w:r>
    </w:p>
    <w:p>
      <w:pPr>
        <w:pStyle w:val="ListBullet"/>
      </w:pPr>
      <w:r>
        <w:t>I dati di rendimento (occupazione, tariffa media, ricavo per camera disponibile) restano materia di revenue management della struttura e non vengono stimati in questo piano; tuttavia la loro assenza impedisce di calcolare l'impatto atteso delle azioni di marketing sul fatturato. Va richiesto al cliente, se disponibile, un quadro sintetico e aggregato di questi indicatori per i cicli stagionali più recenti, da trattare come input di contesto e non come oggetto di intervento del piano.</w:t>
      </w:r>
    </w:p>
    <w:p>
      <w:pPr>
        <w:pStyle w:val="ListBullet"/>
      </w:pPr>
      <w:r>
        <w:t>Il calendario eventi locali (fiere, congressi in sede, manifestazioni cittadine) non è stato fornito come dataset strutturato: le finestre di campagna di sezione 05 sono quindi ancorate a stagionalità e archetipo operativo, non a date di evento verificate. Va richiesto al cliente o alla destinazione il calendario eventi/fiere dei prossimi 12 mesi, per affinare le finestre di attivazione già indicate in roadmap.</w:t>
      </w:r>
    </w:p>
    <w:p>
      <w:pPr>
        <w:pStyle w:val="ListBullet"/>
      </w:pPr>
      <w:r>
        <w:t>L'accesso a GA4, Search Console, Google Business Profile e motore di prenotazione non è stato reso disponibile in questa fase: senza questi accessi non è possibile misurare in modo diretto traffico, posizionamento reale, conversione del booking engine e parità tariffaria richiamati nelle sezioni precedenti. Va richiesto al cliente (o al fornitore tecnico che gestisce questi strumenti) l'accesso in sola lettura a tutte e quattro le piattaforme, come precondizione tecnica per l'attivazione del framework di misurazione di sezione 06.</w:t>
      </w:r>
    </w:p>
    <w:p>
      <w:pPr>
        <w:pStyle w:val="ListBullet"/>
      </w:pPr>
      <w:r>
        <w:t>L'accesso al gestionale delle prenotazioni (PMS) non è stato reso disponibile: senza di esso restano fuori portata sia la baseline di canale sia l'anagrafica ospiti utile alla componente CRM già delineata in sezione 02. Va richiesto al cliente l'accesso in sola lettura al PMS o, in alternativa, estrazioni periodiche concordate.</w:t>
      </w:r>
    </w:p>
    <w:p>
      <w:pPr>
        <w:pStyle w:val="ListBullet"/>
      </w:pPr>
      <w:r>
        <w:t>La domanda di ricerca sulla destinazione è già disponibile e censita nel ledger canonico del piano (33 keyword di domanda, gap organico su tutte): questo dato NON va richiesto nuovamente al cliente. Un eventuale nuovo export di ricerca andrà trattato solo come aggiornamento datato del ledger esistente, non come sostituto della baseline già acquisita.</w:t>
      </w:r>
    </w:p>
    <w:p>
      <w:pPr>
        <w:pStyle w:val="ListBullet"/>
      </w:pPr>
      <w:r>
        <w:t>L'audit di visibilità sugli assistenti conversazionali è stato eseguito con successo solo su un motore, mentre gli altri due non hanno restituito risultato per un problema tecnico di accesso: il piano non può quindi concludere se la struttura sia assente o presente sull'insieme degli assistenti, solo sul singolo motore verificato. Va pianificata una ripetizione tecnica dell'audit con accesso funzionante a tutti i motori previsti, prima di validare in modo definitivo le azioni di ottimizzazione per la citabilità AI già indicate in sezione 03.</w:t>
      </w:r>
    </w:p>
    <w:p>
      <w:pPr>
        <w:pStyle w:val="ListBullet"/>
      </w:pPr>
      <w:r>
        <w:t>La presenza e la qualità della scheda Google Business Profile (foto, attributi, gestione domande e risposte) non sono state fornite oltre al singolo tag rilevato: questo limita la verifica puntuale delle azioni di presidio locale richiamate in sezione 04. Va richiesto l'accesso diretto al profilo per un audit puntuale.</w:t>
      </w:r>
    </w:p>
    <w:p>
      <w:pPr>
        <w:pStyle w:val="ListBullet"/>
      </w:pPr>
      <w:r>
        <w:t>Non è disponibile una misura di frizione o velocità del motore di prenotazione diretto, né un audit di parità tariffaria rispetto ai portali sui canali di metasearch: questi due elementi sono già segnalati come priorità di verifica in sezione 03, ma restano privi di dato di partenza. Vanno commissionati un test di parità tariffaria su Google Hotel Ads/metasearch e un audit di frizione/velocità del booking engine, propedeutici a qualunque intervento correttivo.</w:t>
      </w:r>
    </w:p>
    <w:p>
      <w:pPr>
        <w:pStyle w:val="ListBullet"/>
      </w:pPr>
      <w:r>
        <w:t>L'attività social (Instagram, Facebook, eventuale produzione video) non è stata fornita come dataset di performance, pur essendo i canali presenti e attivi: senza dati di engagement e frequenza di pubblicazione non è possibile validare l'ipotesi di gap comunicativo sui segmenti coppia e famiglia. Va richiesto l'accesso in sola lettura agli insight nativi delle piattaforme social della struttura.</w:t>
      </w:r>
    </w:p>
    <w:p>
      <w:pPr>
        <w:spacing w:before="160" w:after="40"/>
      </w:pPr>
      <w:r>
        <w:rPr>
          <w:b/>
          <w:color w:val="2F5D62"/>
          <w:sz w:val="24"/>
        </w:rPr>
        <w:t>KPI</w:t>
      </w:r>
    </w:p>
    <w:p>
      <w:r>
        <w:t>Gli indicatori numerici del piano sono raccolti in sezione 06 (Misurazione): qui si segnala solo che una parte di quegli indicatori è oggi impostabile come obiettivo di processo (attivare il tracciamento) e diventerà obiettivo numerico solo una volta acquisiti gli input elencati sopra. Non si introducono nuovi KPI in questa sezione.</w:t>
      </w:r>
    </w:p>
    <w:p>
      <w:pPr>
        <w:spacing w:before="160" w:after="40"/>
      </w:pPr>
      <w:r>
        <w:rPr>
          <w:b/>
          <w:color w:val="2F5D62"/>
          <w:sz w:val="24"/>
        </w:rPr>
        <w:t>Note esecutive</w:t>
      </w:r>
    </w:p>
    <w:p>
      <w:pPr>
        <w:pStyle w:val="ListBullet"/>
      </w:pPr>
      <w:r>
        <w:t>Gli importi in euro non compaiono in questo piano: la proposta economica con le cifre di investimento è un allegato separato, di competenza commerciale dell'agenzia, coerente con la ripartizione percentuale indicata in sezione 07.</w:t>
      </w:r>
    </w:p>
    <w:p>
      <w:pPr>
        <w:pStyle w:val="ListBullet"/>
      </w:pPr>
      <w:r>
        <w:t>Ogni cifra di occupazione, tariffa media o ricavo per camera disponibile, se in futuro condivisa dal cliente, va trattata come input di contesto per il revenue management della struttura: questo piano non la utilizza per fissare prezzi o listini, che restano decisione esclusiva della proprietà.</w:t>
      </w:r>
    </w:p>
    <w:p>
      <w:pPr>
        <w:pStyle w:val="ListBullet"/>
      </w:pPr>
      <w:r>
        <w:t>La priorità di raccolta suggerita è: prima gli accessi tecnici (GA4, Search Console, Google Business Profile, booking engine, PMS), poi la baseline di canale (diretto vs OTA, CAC storico), infine calendario eventi e ripetizione dell'audit AI — in questo ordine perché i primi sblocca­no la misurazione di tutte le azioni già pianificate nelle sezioni precedenti.</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22222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