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HOTEL COMMODORE</w:t>
      </w:r>
    </w:p>
    <w:p>
      <w:pPr>
        <w:jc w:val="center"/>
      </w:pPr>
      <w:r>
        <w:rPr>
          <w:color w:val="6B7280"/>
          <w:sz w:val="26"/>
        </w:rPr>
        <w:t>Riccione  ·  3 stelle</w:t>
      </w:r>
    </w:p>
    <w:p>
      <w:pPr>
        <w:spacing w:before="360"/>
        <w:pBdr>
          <w:bottom w:val="single" w:sz="12" w:space="6" w:color="2F5D62"/>
        </w:pBdr>
      </w:pPr>
    </w:p>
    <w:p>
      <w:pPr>
        <w:spacing w:before="160"/>
        <w:jc w:val="center"/>
      </w:pPr>
      <w:r>
        <w:rPr>
          <w:color w:val="6B7280"/>
          <w:sz w:val="18"/>
        </w:rPr>
        <w:t>Documento operativo · 22/07/2026 08:29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Executive summary &amp; posizionamento</w:t>
      </w:r>
    </w:p>
    <w:p>
      <w:pPr>
        <w:pStyle w:val="ListNumber"/>
      </w:pPr>
      <w:r>
        <w:t>02 — Segmenti prioritari &amp; messaggi</w:t>
      </w:r>
    </w:p>
    <w:p>
      <w:pPr>
        <w:pStyle w:val="ListNumber"/>
      </w:pPr>
      <w:r>
        <w:t>03 — Strategia di canale (core)</w:t>
      </w:r>
    </w:p>
    <w:p>
      <w:pPr>
        <w:pStyle w:val="ListNumber"/>
      </w:pPr>
      <w:r>
        <w:t>04 — Distribuzione &amp; mercati</w:t>
      </w:r>
    </w:p>
    <w:p>
      <w:pPr>
        <w:pStyle w:val="ListNumber"/>
      </w:pPr>
      <w:r>
        <w:t>05 — Roadmap 12 mesi</w:t>
      </w:r>
    </w:p>
    <w:p>
      <w:pPr>
        <w:pStyle w:val="ListNumber"/>
      </w:pPr>
      <w:r>
        <w:t>06 — Misurazione &amp; governance</w:t>
      </w:r>
    </w:p>
    <w:p>
      <w:pPr>
        <w:pStyle w:val="ListNumber"/>
      </w:pPr>
      <w:r>
        <w:t>07 — Budget (ripartizione %)</w:t>
      </w:r>
    </w:p>
    <w:p>
      <w:pPr>
        <w:pStyle w:val="ListNumber"/>
      </w:pPr>
      <w:r>
        <w:t>08 — Assunzioni &amp; input mancanti</w:t>
      </w:r>
    </w:p>
    <w:p>
      <w:r>
        <w:br w:type="page"/>
      </w:r>
    </w:p>
    <w:p>
      <w:pPr>
        <w:spacing w:after="0"/>
      </w:pPr>
      <w:r>
        <w:rPr>
          <w:b/>
          <w:color w:val="2F5D62"/>
          <w:sz w:val="18"/>
        </w:rPr>
        <w:t>SEZIONE 01</w:t>
      </w:r>
    </w:p>
    <w:p>
      <w:pPr>
        <w:spacing w:after="200"/>
        <w:pBdr>
          <w:bottom w:val="single" w:sz="18" w:space="6" w:color="2F5D62"/>
        </w:pBdr>
      </w:pPr>
      <w:r>
        <w:rPr>
          <w:b/>
          <w:color w:val="1A1A2E"/>
          <w:sz w:val="40"/>
        </w:rPr>
        <w:t>Executive summary &amp; posizionamento</w:t>
      </w:r>
    </w:p>
    <w:p>
      <w:r>
        <w:t>Il Commodore gioca la partita giusta nel posto giusto: fronte mare a Riccione, formula famiglia con innesto forte di coppia, in una città balneare dove il pubblico family-oriented è la domanda dominante. La leva competitiva reale non è nascosta da scoprire ma da rendere visibile e prenotabile: la posizione in prima linea e il ristorante panoramico sono già percepiti come superiori dal mercato che li ha vissuti, ma restano invisibili a chi sta ancora scegliendo, sia sui motori di ricerca generalisti sia sui nuovi assistenti conversazionali. Il piano sposta quindi il baricentro da 'consolidare la reputazione' (lavoro già fatto, da proteggere con manutenzione ordinaria) a 'tradurre il posizionamento percepito in domanda intercettata': presidio organico sulle query di destinazione e family, coerenza AI-ready dei contenuti, disciplina di canale coerente con l'anima stagionale della struttura, e un'offerta a sito che finalmente nomina i formati (famiglia, sport, fronte mare) con cui il mercato la sta già cercando altrove.</w:t>
      </w:r>
    </w:p>
    <w:p>
      <w:pPr>
        <w:spacing w:before="160" w:after="40"/>
      </w:pPr>
      <w:r>
        <w:rPr>
          <w:b/>
          <w:color w:val="2F5D62"/>
          <w:sz w:val="24"/>
        </w:rPr>
        <w:t>Posizionamento target vs comp-set</w:t>
      </w:r>
    </w:p>
    <w:p>
      <w:r>
        <w:t>All'interno dell'insieme di strutture realmente co-considerate dal cliente in fase di scelta, il Commodore si colloca come 3 stelle solido con un asset esperienziale che nessun competitor diretto replica nella stessa configurazione: il ristorante panoramico in quota. La promessa di valore da presidiare non è 'il 3 stelle più economico' né 'il più recensito', ma 'il fronte mare panoramico a misura di famiglia', un posizionamento che va difeso su Camere — l'area dove il confronto con i competitor meglio piazzati del set è meno favorevole — evitando di competere su terreni (ampiezza stanze) dove strutture di fascia superiore hanno un vantaggio strutturale, e spingendo invece dove il Commodore vince già nell'esperienza vissuta: vista, ristorazione, servizio, posizione.</w:t>
      </w:r>
    </w:p>
    <w:p>
      <w:pPr>
        <w:spacing w:before="160" w:after="40"/>
      </w:pPr>
      <w:r>
        <w:rPr>
          <w:b/>
          <w:color w:val="2F5D62"/>
          <w:sz w:val="24"/>
        </w:rPr>
        <w:t>Deviazione di archetipo da correggere</w:t>
      </w:r>
    </w:p>
    <w:p>
      <w:r>
        <w:t>Il sito comunica un posizionamento a tre pubblici — famiglia, sport, business — ma la clientela reale intercettata dalle recensioni è quasi interamente famiglia e coppia, con una componente sportiva e business che resta minoritaria e non confermata da menzioni operative (nessun riferimento a sale meeting o servizi sportivi strutturati nel campione osservato). Comunicare tre target con pari enfasi quando il mercato ne convalida uno e mezzo disperde budget e messaggio: la priorità è ri-bilanciare la voce del sito e dei contenuti verso famiglia e coppia come assi primari, mantenendo sport e business come segmenti di nicchia opportunistica — coerenti con asset reali (vicinanza allo Stadio del Nuoto, al Palazzo dei Congressi) ma non come pilastro comunicativo di pari peso.</w:t>
      </w:r>
    </w:p>
    <w:p>
      <w:pPr>
        <w:spacing w:before="160" w:after="40"/>
      </w:pPr>
      <w:r>
        <w:rPr>
          <w:b/>
          <w:color w:val="2F5D62"/>
          <w:sz w:val="24"/>
        </w:rPr>
        <w:t>Obiettivi misurabili</w:t>
      </w:r>
    </w:p>
    <w:p>
      <w:pPr>
        <w:pStyle w:val="ListBullet"/>
      </w:pPr>
      <w:r>
        <w:t>Allineare entro la chiusura del prossimo cantiere invernale la gerarchia dei contenuti del sito al mix reale di clientela (famiglia e coppia come assi primari, sport/business come nicchia) — v. sez. 06 per i KPI di dettaglio</w:t>
      </w:r>
    </w:p>
    <w:p>
      <w:pPr>
        <w:pStyle w:val="ListBullet"/>
      </w:pPr>
      <w:r>
        <w:t>Portare a presidio organico competitivo le query di destinazione e family oggi scoperte, a partire dalla domanda già mappata — v. sez. 06</w:t>
      </w:r>
    </w:p>
    <w:p>
      <w:pPr>
        <w:pStyle w:val="ListBullet"/>
      </w:pPr>
      <w:r>
        <w:t>Impostare la misurazione della visibilità negli assistenti conversazionali AI per i segmenti prioritari, oggi solo parzialmente verificata — v. sez. 06</w:t>
      </w:r>
    </w:p>
    <w:p>
      <w:pPr>
        <w:spacing w:before="160" w:after="40"/>
      </w:pPr>
      <w:r>
        <w:rPr>
          <w:b/>
          <w:color w:val="2F5D62"/>
          <w:sz w:val="24"/>
        </w:rPr>
        <w:t>Azioni</w:t>
      </w:r>
    </w:p>
    <w:p>
      <w:r>
        <w:t>Il ristorante in quota è già la ragione per cui una larga parte degli ospiti sceglie e poi racconta il Commodore, ma questo asset non ha oggi una traduzione in query di ricerca ad alto volume né in contenuto strutturato pensato per essere citato da un assistente AI: va quindi costruita una pagina/asset dedicato che nomini esplicitamente l'esperienza (vista, posizione in quota, atmosfera) con markup e formato estraibili, così che l'USP smetta di vivere solo nelle recensioni e diventi un punto di ingresso di ricerca autonomo.</w:t>
      </w:r>
    </w:p>
    <w:p>
      <w:r>
        <w:t>La domanda di destinazione più generica e ad alto volume oggi non vede il Commodore comparire, mentre la struttura vince nettamente proprio sull'attributo che quella domanda softamente implica (fronte mare): la priorità immediata è quindi costruire e rafforzare i contenuti hub di destinazione e fronte mare, così da colmare il divario tra percezione reale (validata) e presenza in fase di ricerca (mancante).</w:t>
      </w:r>
    </w:p>
    <w:p>
      <w:r>
        <w:t>Il pubblico family è il più numeroso tra gli ospiti reali e il sito dedica già una pagina strutturata ai servizi bambini, ma nella verifica preliminare sugli assistenti AI la struttura non compare tra le risposte a una query family-oriented, sostituita da competitor con posizionamento family più esplicito nel nome stesso: la priorità è rendere quella pagina realmente 'leggibile' dai modelli — dati strutturati, elenchi fattuali di servizi con età/orari, coerenza dei dati di contatto tra sito e altre fonti — così da rientrare nel set di risposte citate.</w:t>
      </w:r>
    </w:p>
    <w:p>
      <w:r>
        <w:t>Il sito oggi dà pari enfasi a family, sport e business, ma solo il primo trova conferma solida nel comportamento reale della clientela: l'azione è ridisegnare la gerarchia informativa (family e coppia in primo piano, sport e business come sezioni di supporto/nicchia) per evitare che il messaggio si disperda su segmenti minoritari a scapito di quelli che generano la domanda effettiva.</w:t>
      </w:r>
    </w:p>
    <w:p>
      <w:pPr>
        <w:spacing w:before="160" w:after="40"/>
      </w:pPr>
      <w:r>
        <w:rPr>
          <w:b/>
          <w:color w:val="2F5D62"/>
          <w:sz w:val="24"/>
        </w:rPr>
        <w:t>KPI</w:t>
      </w:r>
    </w:p>
    <w:p>
      <w:r>
        <w:t>Il cruscotto di misurazione completo, con target e orizzonti, è riportato in sez. 06; qui si richiamano solo i KPI-guida di posizionamento: copertura organica sulle query di destinazione e family in gap, presenza della struttura nelle risposte degli assistenti AI sui segmenti prioritari, coerenza tra gerarchia dei contenuti del sito e mix di clientela reale.</w:t>
      </w:r>
    </w:p>
    <w:p>
      <w:pPr>
        <w:spacing w:before="160" w:after="40"/>
      </w:pPr>
      <w:r>
        <w:rPr>
          <w:b/>
          <w:color w:val="2F5D62"/>
          <w:sz w:val="24"/>
        </w:rPr>
        <w:t>Note esecutive</w:t>
      </w:r>
    </w:p>
    <w:p>
      <w:r>
        <w:t>Le metriche tariffarie e di rendimento (prezzi, listini, rendimento per camera) restano di competenza della struttura: questo piano non le tratta se non come vetrina d'offerta. La ripartizione del mix famiglia/coppia/sport-business e le priorità di canale seguono la matrice di sez. 03; il calendario operativo (cantiere, raccolta contenuti, comunicazione agli ospiti abituali) segue la roadmap di sez. 05.</w:t>
      </w:r>
    </w:p>
    <w:p>
      <w:r>
        <w:br w:type="page"/>
      </w:r>
    </w:p>
    <w:p>
      <w:pPr>
        <w:spacing w:after="0"/>
      </w:pPr>
      <w:r>
        <w:rPr>
          <w:b/>
          <w:color w:val="2F5D62"/>
          <w:sz w:val="18"/>
        </w:rPr>
        <w:t>SEZIONE 02</w:t>
      </w:r>
    </w:p>
    <w:p>
      <w:pPr>
        <w:spacing w:after="200"/>
        <w:pBdr>
          <w:bottom w:val="single" w:sz="18" w:space="6" w:color="2F5D62"/>
        </w:pBdr>
      </w:pPr>
      <w:r>
        <w:rPr>
          <w:b/>
          <w:color w:val="1A1A2E"/>
          <w:sz w:val="40"/>
        </w:rPr>
        <w:t>Segmenti prioritari &amp; messaggi</w:t>
      </w:r>
    </w:p>
    <w:p>
      <w:pPr>
        <w:spacing w:before="160" w:after="40"/>
      </w:pPr>
      <w:r>
        <w:rPr>
          <w:b/>
          <w:color w:val="2F5D62"/>
          <w:sz w:val="24"/>
        </w:rPr>
        <w:t>Mix di clientela reale (decision record — verità del piano)</w:t>
      </w:r>
    </w:p>
    <w:p>
      <w:r>
        <w:t>Coppie + Famiglie = 54,2% del mix di clientela reale (recensioni Booking): Coppie 27,9% · Famiglie 26,3%.</w:t>
      </w:r>
    </w:p>
    <w:p>
      <w:r>
        <w:t>La clientela reale del Commodore parla già chiaro: famiglia con bambini e coppia sono i due segmenti che spiegano quasi tutto il portafoglio, con un terzo bacino minoritario e più incerto legato a business e sport. Il piano non insegue il posizionamento a tre pubblici del sito, ma costruisce messaggi e presidio sui due segmenti misurati, riservando al terzo un'azione di verifica prima di qualunque investimento dedicato.</w:t>
      </w:r>
    </w:p>
    <w:p>
      <w:pPr>
        <w:spacing w:before="160" w:after="40"/>
      </w:pPr>
      <w:r>
        <w:rPr>
          <w:b/>
          <w:color w:val="2F5D62"/>
          <w:sz w:val="24"/>
        </w:rPr>
        <w:t>I segmenti prioritari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Peso misurato</w:t>
            </w:r>
          </w:p>
        </w:tc>
        <w:tc>
          <w:tcPr>
            <w:tcW w:type="dxa" w:w="2160"/>
            <w:shd w:val="clear" w:color="auto" w:fill="2F5D62"/>
          </w:tcPr>
          <w:p>
            <w:r>
              <w:rPr>
                <w:b/>
                <w:color w:val="FFFFFF"/>
                <w:sz w:val="19"/>
              </w:rPr>
              <w:t>Leva decisionale</w:t>
            </w:r>
          </w:p>
        </w:tc>
        <w:tc>
          <w:tcPr>
            <w:tcW w:type="dxa" w:w="2160"/>
            <w:shd w:val="clear" w:color="auto" w:fill="2F5D62"/>
          </w:tcPr>
          <w:p>
            <w:r>
              <w:rPr>
                <w:b/>
                <w:color w:val="FFFFFF"/>
                <w:sz w:val="19"/>
              </w:rPr>
              <w:t>Finestra di prenotazione (contesto)</w:t>
            </w:r>
          </w:p>
        </w:tc>
      </w:tr>
      <w:tr>
        <w:tc>
          <w:tcPr>
            <w:tcW w:type="dxa" w:w="2160"/>
          </w:tcPr>
          <w:p>
            <w:r>
              <w:rPr>
                <w:sz w:val="19"/>
              </w:rPr>
              <w:t>Famiglia con bambini (0-12 anni)</w:t>
            </w:r>
          </w:p>
        </w:tc>
        <w:tc>
          <w:tcPr>
            <w:tcW w:type="dxa" w:w="2160"/>
          </w:tcPr>
          <w:p>
            <w:r>
              <w:rPr>
                <w:sz w:val="19"/>
              </w:rPr>
              <w:t>~55-63%</w:t>
            </w:r>
          </w:p>
        </w:tc>
        <w:tc>
          <w:tcPr>
            <w:tcW w:type="dxa" w:w="2160"/>
          </w:tcPr>
          <w:p>
            <w:r>
              <w:rPr>
                <w:sz w:val="19"/>
              </w:rPr>
              <w:t>Riduzione della frizione logistica: tutto deve "funzionare" con i bambini, servizi family verificabili prima della prenotazione</w:t>
            </w:r>
          </w:p>
        </w:tc>
        <w:tc>
          <w:tcPr>
            <w:tcW w:type="dxa" w:w="2160"/>
          </w:tcPr>
          <w:p>
            <w:r>
              <w:rPr>
                <w:sz w:val="19"/>
              </w:rPr>
              <w:t>Lunga, tipicamente mesi prima dell'alta stagione, con una coda last-minute più contenuta</w:t>
            </w:r>
          </w:p>
        </w:tc>
      </w:tr>
      <w:tr>
        <w:tc>
          <w:tcPr>
            <w:tcW w:type="dxa" w:w="2160"/>
            <w:shd w:val="clear" w:color="auto" w:fill="EEF2F1"/>
          </w:tcPr>
          <w:p>
            <w:r>
              <w:rPr>
                <w:sz w:val="19"/>
              </w:rPr>
              <w:t>Coppia (city-break o vacanza mare)</w:t>
            </w:r>
          </w:p>
        </w:tc>
        <w:tc>
          <w:tcPr>
            <w:tcW w:type="dxa" w:w="2160"/>
            <w:shd w:val="clear" w:color="auto" w:fill="EEF2F1"/>
          </w:tcPr>
          <w:p>
            <w:r>
              <w:rPr>
                <w:sz w:val="19"/>
              </w:rPr>
              <w:t>~23-28%</w:t>
            </w:r>
          </w:p>
        </w:tc>
        <w:tc>
          <w:tcPr>
            <w:tcW w:type="dxa" w:w="2160"/>
            <w:shd w:val="clear" w:color="auto" w:fill="EEF2F1"/>
          </w:tcPr>
          <w:p>
            <w:r>
              <w:rPr>
                <w:sz w:val="19"/>
              </w:rPr>
              <w:t>Rapporto qualità-prezzo condiviso ed esperienza (vista mare, ristorazione panoramica); alta apertura allo spontaneo se il prezzo/posizione convincono</w:t>
            </w:r>
          </w:p>
        </w:tc>
        <w:tc>
          <w:tcPr>
            <w:tcW w:type="dxa" w:w="2160"/>
            <w:shd w:val="clear" w:color="auto" w:fill="EEF2F1"/>
          </w:tcPr>
          <w:p>
            <w:r>
              <w:rPr>
                <w:sz w:val="19"/>
              </w:rPr>
              <w:t>Variabile: da last-minute per la fuga breve a media anticipazione per la vacanza mare programmata</w:t>
            </w:r>
          </w:p>
        </w:tc>
      </w:tr>
      <w:tr>
        <w:tc>
          <w:tcPr>
            <w:tcW w:type="dxa" w:w="2160"/>
          </w:tcPr>
          <w:p>
            <w:r>
              <w:rPr>
                <w:sz w:val="19"/>
              </w:rPr>
              <w:t>Business unmanaged / sportivo (nicchia)</w:t>
            </w:r>
          </w:p>
        </w:tc>
        <w:tc>
          <w:tcPr>
            <w:tcW w:type="dxa" w:w="2160"/>
          </w:tcPr>
          <w:p>
            <w:r>
              <w:rPr>
                <w:sz w:val="19"/>
              </w:rPr>
              <w:t>~3-7%, dato incerto tra fonti</w:t>
            </w:r>
          </w:p>
        </w:tc>
        <w:tc>
          <w:tcPr>
            <w:tcW w:type="dxa" w:w="2160"/>
          </w:tcPr>
          <w:p>
            <w:r>
              <w:rPr>
                <w:sz w:val="19"/>
              </w:rPr>
              <w:t>Prossimità a impianti sportivi/Palazzo dei Congressi, parcheggio, rapidità di prenotazione</w:t>
            </w:r>
          </w:p>
        </w:tc>
        <w:tc>
          <w:tcPr>
            <w:tcW w:type="dxa" w:w="2160"/>
          </w:tcPr>
          <w:p>
            <w:r>
              <w:rPr>
                <w:sz w:val="19"/>
              </w:rPr>
              <w:t>Breve, spesso a ridosso della data — da verificare, non misurata nell'audit disponibile</w:t>
            </w:r>
          </w:p>
        </w:tc>
      </w:tr>
    </w:tbl>
    <w:p>
      <w:pPr>
        <w:spacing w:after="160"/>
      </w:pPr>
    </w:p>
    <w:p>
      <w:pPr>
        <w:spacing w:before="160" w:after="40"/>
      </w:pPr>
      <w:r>
        <w:rPr>
          <w:b/>
          <w:color w:val="2F5D62"/>
          <w:sz w:val="24"/>
        </w:rPr>
        <w:t>Obiettivi misurabili</w:t>
      </w:r>
    </w:p>
    <w:p>
      <w:pPr>
        <w:pStyle w:val="ListBullet"/>
      </w:pPr>
      <w:r>
        <w:t>Rendere il messaggio family esplicitamente citabile (formule, plan bimbi, spiaggia inclusa) su tutte le pagine e i touchpoint diretti che lo riguardano — v. sez. 06 per i KPI di controllo</w:t>
      </w:r>
    </w:p>
    <w:p>
      <w:pPr>
        <w:pStyle w:val="ListBullet"/>
      </w:pPr>
      <w:r>
        <w:t>Allineare il messaggio coppia sull'esperienza distintiva (vista, ristorazione) come primo argomento, non come nota accessoria</w:t>
      </w:r>
    </w:p>
    <w:p>
      <w:pPr>
        <w:pStyle w:val="ListBullet"/>
      </w:pPr>
      <w:r>
        <w:t>Impostare un processo di verifica della quota reale business/sportivo prima di allocare budget dedicato (obiettivo di processo, non numerico: la baseline è incerta)</w:t>
      </w:r>
    </w:p>
    <w:p>
      <w:pPr>
        <w:spacing w:before="160" w:after="40"/>
      </w:pPr>
      <w:r>
        <w:rPr>
          <w:b/>
          <w:color w:val="2F5D62"/>
          <w:sz w:val="24"/>
        </w:rPr>
        <w:t>Azioni</w:t>
      </w:r>
    </w:p>
    <w:p>
      <w:pPr>
        <w:pStyle w:val="ListBullet"/>
      </w:pPr>
      <w:r>
        <w:t>Il segmento famiglia è il più numeroso e il sito già investe in una pagina dedicata con baby room, culle, pediatria h24 e miniclub: senza però il lessico di prodotto (formula, piano famiglia, spiaggia inclusa) quel contenuto resta descrittivo e non genera l'urgenza dell'early booking. Il messaggio famiglia va riscritto nominando esplicitamente la formula (pensione completa/mezza pensione/all inclusive), il piano bambini per fascia d'età con le relative agevolazioni stagionali, l'ombrellone e i lettini inclusi in spiaggia, e una tariffa agevolata per chi prenota con anticipo. Questo lessico è anche quello con cui la domanda di destinazione viene cercata online, quindi la stessa pagina deve poter essere estratta e citata da chi confronta le opzioni prima di scegliere.</w:t>
      </w:r>
    </w:p>
    <w:p>
      <w:pPr>
        <w:pStyle w:val="ListBullet"/>
      </w:pPr>
      <w:r>
        <w:t>Le famiglie in fase di valutazione hanno bisogno di rassicurazione rapida sui dettagli pratici (età minima miniclub, orari, costi extra bambino) prima di fidarsi: senza un canale di contatto diretto ben visibile e reattivo, quella rassicurazione la trovano altrove, spesso presso un concorrente più reattivo. Va quindi resa prominente e verificata la disponibilità di un canale diretto (telefono, WhatsApp, form) su tutte le pagine family, con un tempo di risposta tracciato.</w:t>
      </w:r>
    </w:p>
    <w:p>
      <w:pPr>
        <w:pStyle w:val="ListBullet"/>
      </w:pPr>
      <w:r>
        <w:t>Il segmento coppia è il secondo per numerosità e la struttura ha già un argomento distintivo forte nella vista panoramica e nella ristorazione al quinto piano: il messaggio coppia deve aprire su questo (non su generiche foto di camera), perché è l'elemento che la rende difficilmente comparabile con il resto del set. La leva economica condivisa in coppia — prezzo/valore percepito insieme — va affiancata da un argomento esperienziale netto, non diluita in un elenco di comfort generici.</w:t>
      </w:r>
    </w:p>
    <w:p>
      <w:pPr>
        <w:pStyle w:val="ListBullet"/>
      </w:pPr>
      <w:r>
        <w:t>La quota business/sportivo resta un dato incerto tra le fonti disponibili e non misurato negli assistenti AI: prima di produrre contenuti o campagne dedicate a questo pubblico, va verificata la domanda reale (query naturali del tipo "hotel vicino allo Stadio del Nuoto con parcheggio") e va risolta la criticità del parcheggio già nota, che per questo segmento — dipendente dal mezzo proprio quanto le famiglie in auto — pesa doppio. Fino a quella verifica, il messaggio sportivo/business resta di presidio minimo, non un pilastro comunicativo pari a famiglia e coppia.</w:t>
      </w:r>
    </w:p>
    <w:p>
      <w:pPr>
        <w:spacing w:before="160" w:after="40"/>
      </w:pPr>
      <w:r>
        <w:rPr>
          <w:b/>
          <w:color w:val="2F5D62"/>
          <w:sz w:val="24"/>
        </w:rPr>
        <w:t>KPI</w:t>
      </w:r>
    </w:p>
    <w:p>
      <w:pPr>
        <w:pStyle w:val="ListBullet"/>
      </w:pPr>
      <w:r>
        <w:t>V. sez. 06 per il quadro completo di misurazione</w:t>
      </w:r>
    </w:p>
    <w:p>
      <w:pPr>
        <w:spacing w:before="160" w:after="40"/>
      </w:pPr>
      <w:r>
        <w:rPr>
          <w:b/>
          <w:color w:val="2F5D62"/>
          <w:sz w:val="24"/>
        </w:rPr>
        <w:t>Note esecutive</w:t>
      </w:r>
    </w:p>
    <w:p>
      <w:pPr>
        <w:pStyle w:val="ListBullet"/>
      </w:pPr>
      <w:r>
        <w:t>Il lessico di prodotto (formula, piano famiglia, spiaggia inclusa, book early) è vincolante per ogni contenuto family e va replicato in coerenza tra sito, scheda Google Business Profile e pagine di destinazione: un messaggio senza questo lessico è, di fatto, vuoto per il segmento che pesa di più.</w:t>
      </w:r>
    </w:p>
    <w:p>
      <w:pPr>
        <w:pStyle w:val="ListBullet"/>
      </w:pPr>
      <w:r>
        <w:t>Il terzo segmento (business/sportivo) non va scartato ma sospeso: la sua vicinanza a impianti sportivi e Palazzo dei Congressi resta un asset reale, da riattivare solo dopo la verifica di domanda e la risoluzione della criticità parcheggio.</w:t>
      </w:r>
    </w:p>
    <w:p>
      <w:r>
        <w:br w:type="page"/>
      </w:r>
    </w:p>
    <w:p>
      <w:pPr>
        <w:spacing w:after="0"/>
      </w:pPr>
      <w:r>
        <w:rPr>
          <w:b/>
          <w:color w:val="2F5D62"/>
          <w:sz w:val="18"/>
        </w:rPr>
        <w:t>SEZIONE 03</w:t>
      </w:r>
    </w:p>
    <w:p>
      <w:pPr>
        <w:spacing w:after="200"/>
        <w:pBdr>
          <w:bottom w:val="single" w:sz="18" w:space="6" w:color="2F5D62"/>
        </w:pBdr>
      </w:pPr>
      <w:r>
        <w:rPr>
          <w:b/>
          <w:color w:val="1A1A2E"/>
          <w:sz w:val="40"/>
        </w:rPr>
        <w:t>Strategia di canale (core)</w:t>
      </w:r>
    </w:p>
    <w:p>
      <w:pPr>
        <w:spacing w:before="160" w:after="40"/>
      </w:pPr>
      <w:r>
        <w:rPr>
          <w:b/>
          <w:color w:val="2F5D62"/>
          <w:sz w:val="24"/>
        </w:rPr>
        <w:t>Matrice dei canali (decision record — verità del piano)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Canale</w:t>
            </w:r>
          </w:p>
        </w:tc>
        <w:tc>
          <w:tcPr>
            <w:tcW w:type="dxa" w:w="1728"/>
            <w:shd w:val="clear" w:color="auto" w:fill="2F5D62"/>
          </w:tcPr>
          <w:p>
            <w:r>
              <w:rPr>
                <w:b/>
                <w:color w:val="FFFFFF"/>
                <w:sz w:val="19"/>
              </w:rPr>
              <w:t>Verdetto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Motivo</w:t>
            </w:r>
          </w:p>
        </w:tc>
        <w:tc>
          <w:tcPr>
            <w:tcW w:type="dxa" w:w="1728"/>
            <w:shd w:val="clear" w:color="auto" w:fill="2F5D62"/>
          </w:tcPr>
          <w:p>
            <w:r>
              <w:rPr>
                <w:b/>
                <w:color w:val="FFFFFF"/>
                <w:sz w:val="19"/>
              </w:rPr>
              <w:t>Dipendenze</w:t>
            </w:r>
          </w:p>
        </w:tc>
      </w:tr>
      <w:tr>
        <w:tc>
          <w:tcPr>
            <w:tcW w:type="dxa" w:w="1728"/>
          </w:tcPr>
          <w:p>
            <w:r>
              <w:rPr>
                <w:sz w:val="19"/>
              </w:rPr>
              <w:t>SEO organico</w:t>
            </w:r>
          </w:p>
        </w:tc>
        <w:tc>
          <w:tcPr>
            <w:tcW w:type="dxa" w:w="1728"/>
          </w:tcPr>
          <w:p>
            <w:r>
              <w:rPr>
                <w:sz w:val="19"/>
              </w:rPr>
              <w:t>Attivare (prioritario)</w:t>
            </w:r>
          </w:p>
        </w:tc>
        <w:tc>
          <w:tcPr>
            <w:tcW w:type="dxa" w:w="1728"/>
          </w:tcPr>
          <w:p>
            <w:r>
              <w:rPr>
                <w:sz w:val="19"/>
              </w:rPr>
              <w:t>alta</w:t>
            </w:r>
          </w:p>
        </w:tc>
        <w:tc>
          <w:tcPr>
            <w:tcW w:type="dxa" w:w="1728"/>
          </w:tcPr>
          <w:p>
            <w:r>
              <w:rPr>
                <w:sz w:val="19"/>
              </w:rPr>
              <w:t>30 keyword su 31 in gap (97%); 68470 ricerche/mese di domanda non presidiata. On-site: mancano dati strutturati per i rich result (breadcrumb, faq, review).</w:t>
            </w:r>
          </w:p>
        </w:tc>
        <w:tc>
          <w:tcPr>
            <w:tcW w:type="dxa" w:w="1728"/>
          </w:tcPr>
          <w:p>
            <w:r>
              <w:rPr>
                <w:sz w:val="19"/>
              </w:rPr>
              <w:t>—</w:t>
            </w:r>
          </w:p>
        </w:tc>
      </w:tr>
      <w:tr>
        <w:tc>
          <w:tcPr>
            <w:tcW w:type="dxa" w:w="1728"/>
            <w:shd w:val="clear" w:color="auto" w:fill="EEF2F1"/>
          </w:tcPr>
          <w:p>
            <w:r>
              <w:rPr>
                <w:sz w:val="19"/>
              </w:rPr>
              <w:t>Search advertising (Google Ads)</w:t>
            </w:r>
          </w:p>
        </w:tc>
        <w:tc>
          <w:tcPr>
            <w:tcW w:type="dxa" w:w="1728"/>
            <w:shd w:val="clear" w:color="auto" w:fill="EEF2F1"/>
          </w:tcPr>
          <w:p>
            <w:r>
              <w:rPr>
                <w:sz w:val="19"/>
              </w:rPr>
              <w:t>Attivare (stagionale)</w:t>
            </w:r>
          </w:p>
        </w:tc>
        <w:tc>
          <w:tcPr>
            <w:tcW w:type="dxa" w:w="1728"/>
            <w:shd w:val="clear" w:color="auto" w:fill="EEF2F1"/>
          </w:tcPr>
          <w:p>
            <w:r>
              <w:rPr>
                <w:sz w:val="19"/>
              </w:rPr>
              <w:t>media</w:t>
            </w:r>
          </w:p>
        </w:tc>
        <w:tc>
          <w:tcPr>
            <w:tcW w:type="dxa" w:w="1728"/>
            <w:shd w:val="clear" w:color="auto" w:fill="EEF2F1"/>
          </w:tcPr>
          <w:p>
            <w:r>
              <w:rPr>
                <w:sz w:val="19"/>
              </w:rPr>
              <w:t>87% della domanda misurata è ad alta competizione: la search advertising presidia le query commerciali dove l'organico non arriva in tempo, su doppia finestra (anticipo di mercato + sotto-data).</w:t>
            </w:r>
          </w:p>
        </w:tc>
        <w:tc>
          <w:tcPr>
            <w:tcW w:type="dxa" w:w="1728"/>
            <w:shd w:val="clear" w:color="auto" w:fill="EEF2F1"/>
          </w:tcPr>
          <w:p>
            <w:r>
              <w:rPr>
                <w:sz w:val="19"/>
              </w:rPr>
              <w:t>—</w:t>
            </w:r>
          </w:p>
        </w:tc>
      </w:tr>
      <w:tr>
        <w:tc>
          <w:tcPr>
            <w:tcW w:type="dxa" w:w="1728"/>
          </w:tcPr>
          <w:p>
            <w:r>
              <w:rPr>
                <w:sz w:val="19"/>
              </w:rPr>
              <w:t>Metasearch (Google Hotel Ads, Trivago)</w:t>
            </w:r>
          </w:p>
        </w:tc>
        <w:tc>
          <w:tcPr>
            <w:tcW w:type="dxa" w:w="1728"/>
          </w:tcPr>
          <w:p>
            <w:r>
              <w:rPr>
                <w:sz w:val="19"/>
              </w:rPr>
              <w:t>Non ora</w:t>
            </w:r>
          </w:p>
        </w:tc>
        <w:tc>
          <w:tcPr>
            <w:tcW w:type="dxa" w:w="1728"/>
          </w:tcPr>
          <w:p>
            <w:r>
              <w:rPr>
                <w:sz w:val="19"/>
              </w:rPr>
              <w:t>bassa</w:t>
            </w:r>
          </w:p>
        </w:tc>
        <w:tc>
          <w:tcPr>
            <w:tcW w:type="dxa" w:w="1728"/>
          </w:tcPr>
          <w:p>
            <w:r>
              <w:rPr>
                <w:sz w:val="19"/>
              </w:rPr>
              <w:t>Dipendenza non verificata: booking diretto presidiato + rate parity.</w:t>
            </w:r>
          </w:p>
        </w:tc>
        <w:tc>
          <w:tcPr>
            <w:tcW w:type="dxa" w:w="1728"/>
          </w:tcPr>
          <w:p>
            <w:r>
              <w:rPr>
                <w:sz w:val="19"/>
              </w:rPr>
              <w:t>booking_diretto, rate_parity</w:t>
            </w:r>
          </w:p>
        </w:tc>
      </w:tr>
      <w:tr>
        <w:tc>
          <w:tcPr>
            <w:tcW w:type="dxa" w:w="1728"/>
            <w:shd w:val="clear" w:color="auto" w:fill="EEF2F1"/>
          </w:tcPr>
          <w:p>
            <w:r>
              <w:rPr>
                <w:sz w:val="19"/>
              </w:rPr>
              <w:t>Sito &amp; booking diretto</w:t>
            </w:r>
          </w:p>
        </w:tc>
        <w:tc>
          <w:tcPr>
            <w:tcW w:type="dxa" w:w="1728"/>
            <w:shd w:val="clear" w:color="auto" w:fill="EEF2F1"/>
          </w:tcPr>
          <w:p>
            <w:r>
              <w:rPr>
                <w:sz w:val="19"/>
              </w:rPr>
              <w:t>Attivare (prioritario)</w:t>
            </w:r>
          </w:p>
        </w:tc>
        <w:tc>
          <w:tcPr>
            <w:tcW w:type="dxa" w:w="1728"/>
            <w:shd w:val="clear" w:color="auto" w:fill="EEF2F1"/>
          </w:tcPr>
          <w:p>
            <w:r>
              <w:rPr>
                <w:sz w:val="19"/>
              </w:rPr>
              <w:t>alta</w:t>
            </w:r>
          </w:p>
        </w:tc>
        <w:tc>
          <w:tcPr>
            <w:tcW w:type="dxa" w:w="1728"/>
            <w:shd w:val="clear" w:color="auto" w:fill="EEF2F1"/>
          </w:tcPr>
          <w:p>
            <w:r>
              <w:rPr>
                <w:sz w:val="19"/>
              </w:rPr>
              <w:t>Il canale diretto è l'obiettivo strutturale: manca il markup Offer/prezzi e il booking engine non è dichiarato — abilitare la conversione diretta (schema Offer, motore di prenotazione). Il listino va chiuso entro nov per aprire le vendite ai mercati esteri.</w:t>
            </w:r>
          </w:p>
        </w:tc>
        <w:tc>
          <w:tcPr>
            <w:tcW w:type="dxa" w:w="1728"/>
            <w:shd w:val="clear" w:color="auto" w:fill="EEF2F1"/>
          </w:tcPr>
          <w:p>
            <w:r>
              <w:rPr>
                <w:sz w:val="19"/>
              </w:rPr>
              <w:t>—</w:t>
            </w:r>
          </w:p>
        </w:tc>
      </w:tr>
      <w:tr>
        <w:tc>
          <w:tcPr>
            <w:tcW w:type="dxa" w:w="1728"/>
          </w:tcPr>
          <w:p>
            <w:r>
              <w:rPr>
                <w:sz w:val="19"/>
              </w:rPr>
              <w:t>OTA / distribuzione</w:t>
            </w:r>
          </w:p>
        </w:tc>
        <w:tc>
          <w:tcPr>
            <w:tcW w:type="dxa" w:w="1728"/>
          </w:tcPr>
          <w:p>
            <w:r>
              <w:rPr>
                <w:sz w:val="19"/>
              </w:rPr>
              <w:t>Mantenere</w:t>
            </w:r>
          </w:p>
        </w:tc>
        <w:tc>
          <w:tcPr>
            <w:tcW w:type="dxa" w:w="1728"/>
          </w:tcPr>
          <w:p>
            <w:r>
              <w:rPr>
                <w:sz w:val="19"/>
              </w:rPr>
              <w:t>bassa</w:t>
            </w:r>
          </w:p>
        </w:tc>
        <w:tc>
          <w:tcPr>
            <w:tcW w:type="dxa" w:w="1728"/>
          </w:tcPr>
          <w:p>
            <w:r>
              <w:rPr>
                <w:sz w:val="19"/>
              </w:rPr>
              <w:t>Distribuzione OTA da governare per il billboard effect: mantenere presenza e visibilità, spostando progressivamente quota sul canale diretto quando la parità regge.</w:t>
            </w:r>
          </w:p>
        </w:tc>
        <w:tc>
          <w:tcPr>
            <w:tcW w:type="dxa" w:w="1728"/>
          </w:tcPr>
          <w:p>
            <w:r>
              <w:rPr>
                <w:sz w:val="19"/>
              </w:rPr>
              <w:t>booking_diretto, rate_parity</w:t>
            </w:r>
          </w:p>
        </w:tc>
      </w:tr>
      <w:tr>
        <w:tc>
          <w:tcPr>
            <w:tcW w:type="dxa" w:w="1728"/>
            <w:shd w:val="clear" w:color="auto" w:fill="EEF2F1"/>
          </w:tcPr>
          <w:p>
            <w:r>
              <w:rPr>
                <w:sz w:val="19"/>
              </w:rPr>
              <w:t>Social organico</w:t>
            </w:r>
          </w:p>
        </w:tc>
        <w:tc>
          <w:tcPr>
            <w:tcW w:type="dxa" w:w="1728"/>
            <w:shd w:val="clear" w:color="auto" w:fill="EEF2F1"/>
          </w:tcPr>
          <w:p>
            <w:r>
              <w:rPr>
                <w:sz w:val="19"/>
              </w:rPr>
              <w:t>Rafforzare</w:t>
            </w:r>
          </w:p>
        </w:tc>
        <w:tc>
          <w:tcPr>
            <w:tcW w:type="dxa" w:w="1728"/>
            <w:shd w:val="clear" w:color="auto" w:fill="EEF2F1"/>
          </w:tcPr>
          <w:p>
            <w:r>
              <w:rPr>
                <w:sz w:val="19"/>
              </w:rPr>
              <w:t>media</w:t>
            </w:r>
          </w:p>
        </w:tc>
        <w:tc>
          <w:tcPr>
            <w:tcW w:type="dxa" w:w="1728"/>
            <w:shd w:val="clear" w:color="auto" w:fill="EEF2F1"/>
          </w:tcPr>
          <w:p>
            <w:r>
              <w:rPr>
                <w:sz w:val="19"/>
              </w:rPr>
              <w:t>8 asset visuali forti nel profilo (piscina/benessere/fronte mare/terrazza): raccogliere contenuto in stagione e potenziare la presenza organica.</w:t>
            </w:r>
          </w:p>
        </w:tc>
        <w:tc>
          <w:tcPr>
            <w:tcW w:type="dxa" w:w="1728"/>
            <w:shd w:val="clear" w:color="auto" w:fill="EEF2F1"/>
          </w:tcPr>
          <w:p>
            <w:r>
              <w:rPr>
                <w:sz w:val="19"/>
              </w:rPr>
              <w:t>—</w:t>
            </w:r>
          </w:p>
        </w:tc>
      </w:tr>
      <w:tr>
        <w:tc>
          <w:tcPr>
            <w:tcW w:type="dxa" w:w="1728"/>
          </w:tcPr>
          <w:p>
            <w:r>
              <w:rPr>
                <w:sz w:val="19"/>
              </w:rPr>
              <w:t>Social advertising</w:t>
            </w:r>
          </w:p>
        </w:tc>
        <w:tc>
          <w:tcPr>
            <w:tcW w:type="dxa" w:w="1728"/>
          </w:tcPr>
          <w:p>
            <w:r>
              <w:rPr>
                <w:sz w:val="19"/>
              </w:rPr>
              <w:t>Mantenere</w:t>
            </w:r>
          </w:p>
        </w:tc>
        <w:tc>
          <w:tcPr>
            <w:tcW w:type="dxa" w:w="1728"/>
          </w:tcPr>
          <w:p>
            <w:r>
              <w:rPr>
                <w:sz w:val="19"/>
              </w:rPr>
              <w:t>bassa</w:t>
            </w:r>
          </w:p>
        </w:tc>
        <w:tc>
          <w:tcPr>
            <w:tcW w:type="dxa" w:w="1728"/>
          </w:tcPr>
          <w:p>
            <w:r>
              <w:rPr>
                <w:sz w:val="19"/>
              </w:rPr>
              <w:t>Advertising social da attivare su segmenti e finestre stagionali definite: finestra ancorata al picco reale.</w:t>
            </w:r>
          </w:p>
        </w:tc>
        <w:tc>
          <w:tcPr>
            <w:tcW w:type="dxa" w:w="1728"/>
          </w:tcPr>
          <w:p>
            <w:r>
              <w:rPr>
                <w:sz w:val="19"/>
              </w:rPr>
              <w:t>—</w:t>
            </w:r>
          </w:p>
        </w:tc>
      </w:tr>
      <w:tr>
        <w:tc>
          <w:tcPr>
            <w:tcW w:type="dxa" w:w="1728"/>
            <w:shd w:val="clear" w:color="auto" w:fill="EEF2F1"/>
          </w:tcPr>
          <w:p>
            <w:r>
              <w:rPr>
                <w:sz w:val="19"/>
              </w:rPr>
              <w:t>Email &amp; CRM</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Quota famiglie+coppie contenuta (54%): CRM utile ma non prioritario sul mix attuale.</w:t>
            </w:r>
          </w:p>
        </w:tc>
        <w:tc>
          <w:tcPr>
            <w:tcW w:type="dxa" w:w="1728"/>
            <w:shd w:val="clear" w:color="auto" w:fill="EEF2F1"/>
          </w:tcPr>
          <w:p>
            <w:r>
              <w:rPr>
                <w:sz w:val="19"/>
              </w:rPr>
              <w:t>—</w:t>
            </w:r>
          </w:p>
        </w:tc>
      </w:tr>
      <w:tr>
        <w:tc>
          <w:tcPr>
            <w:tcW w:type="dxa" w:w="1728"/>
          </w:tcPr>
          <w:p>
            <w:r>
              <w:rPr>
                <w:sz w:val="19"/>
              </w:rPr>
              <w:t>Reputation &amp; gestione recensioni</w:t>
            </w:r>
          </w:p>
        </w:tc>
        <w:tc>
          <w:tcPr>
            <w:tcW w:type="dxa" w:w="1728"/>
          </w:tcPr>
          <w:p>
            <w:r>
              <w:rPr>
                <w:sz w:val="19"/>
              </w:rPr>
              <w:t>Non valutabile</w:t>
            </w:r>
          </w:p>
        </w:tc>
        <w:tc>
          <w:tcPr>
            <w:tcW w:type="dxa" w:w="1728"/>
          </w:tcPr>
          <w:p>
            <w:r>
              <w:rPr>
                <w:sz w:val="19"/>
              </w:rPr>
              <w:t>bassa</w:t>
            </w:r>
          </w:p>
        </w:tc>
        <w:tc>
          <w:tcPr>
            <w:tcW w:type="dxa" w:w="1728"/>
          </w:tcPr>
          <w:p>
            <w:r>
              <w:rPr>
                <w:sz w:val="19"/>
              </w:rPr>
              <w:t>Metriche di reputazione non disponibili in questa diagnosi.</w:t>
            </w:r>
          </w:p>
        </w:tc>
        <w:tc>
          <w:tcPr>
            <w:tcW w:type="dxa" w:w="1728"/>
          </w:tcPr>
          <w:p>
            <w:r>
              <w:rPr>
                <w:sz w:val="19"/>
              </w:rPr>
              <w:t>—</w:t>
            </w:r>
          </w:p>
        </w:tc>
      </w:tr>
      <w:tr>
        <w:tc>
          <w:tcPr>
            <w:tcW w:type="dxa" w:w="1728"/>
            <w:shd w:val="clear" w:color="auto" w:fill="EEF2F1"/>
          </w:tcPr>
          <w:p>
            <w:r>
              <w:rPr>
                <w:sz w:val="19"/>
              </w:rPr>
              <w:t>AEO / assistenti AI</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Audit AEO parziale/provvisorio (copertura provider incompleta): trattare come segnale, non come baseline consolidata.</w:t>
            </w:r>
          </w:p>
        </w:tc>
        <w:tc>
          <w:tcPr>
            <w:tcW w:type="dxa" w:w="1728"/>
            <w:shd w:val="clear" w:color="auto" w:fill="EEF2F1"/>
          </w:tcPr>
          <w:p>
            <w:r>
              <w:rPr>
                <w:sz w:val="19"/>
              </w:rPr>
              <w:t>—</w:t>
            </w:r>
          </w:p>
        </w:tc>
      </w:tr>
      <w:tr>
        <w:tc>
          <w:tcPr>
            <w:tcW w:type="dxa" w:w="1728"/>
          </w:tcPr>
          <w:p>
            <w:r>
              <w:rPr>
                <w:sz w:val="19"/>
              </w:rPr>
              <w:t>Mercato DACH (area di lingua tedesca)</w:t>
            </w:r>
          </w:p>
        </w:tc>
        <w:tc>
          <w:tcPr>
            <w:tcW w:type="dxa" w:w="1728"/>
          </w:tcPr>
          <w:p>
            <w:r>
              <w:rPr>
                <w:sz w:val="19"/>
              </w:rPr>
              <w:t>Mantenere</w:t>
            </w:r>
          </w:p>
        </w:tc>
        <w:tc>
          <w:tcPr>
            <w:tcW w:type="dxa" w:w="1728"/>
          </w:tcPr>
          <w:p>
            <w:r>
              <w:rPr>
                <w:sz w:val="19"/>
              </w:rPr>
              <w:t>bassa</w:t>
            </w:r>
          </w:p>
        </w:tc>
        <w:tc>
          <w:tcPr>
            <w:tcW w:type="dxa" w:w="1728"/>
          </w:tcPr>
          <w:p>
            <w:r>
              <w:rPr>
                <w:sz w:val="19"/>
              </w:rPr>
              <w:t>Presenza DACH marginale (tedeschi 4%).</w:t>
            </w:r>
          </w:p>
        </w:tc>
        <w:tc>
          <w:tcPr>
            <w:tcW w:type="dxa" w:w="1728"/>
          </w:tcPr>
          <w:p>
            <w:r>
              <w:rPr>
                <w:sz w:val="19"/>
              </w:rPr>
              <w:t>—</w:t>
            </w:r>
          </w:p>
        </w:tc>
      </w:tr>
      <w:tr>
        <w:tc>
          <w:tcPr>
            <w:tcW w:type="dxa" w:w="1728"/>
            <w:shd w:val="clear" w:color="auto" w:fill="EEF2F1"/>
          </w:tcPr>
          <w:p>
            <w:r>
              <w:rPr>
                <w:sz w:val="19"/>
              </w:rPr>
              <w:t>Segmento business / MICE</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Quota business rilevante (18%) e 4 fiere in stagione (RiminiWellness, World Ducati Week, Meeting di Rimini, Tecna): la domanda corporate è raggiungibile nei mesi di apertura.</w:t>
            </w:r>
          </w:p>
        </w:tc>
        <w:tc>
          <w:tcPr>
            <w:tcW w:type="dxa" w:w="1728"/>
            <w:shd w:val="clear" w:color="auto" w:fill="EEF2F1"/>
          </w:tcPr>
          <w:p>
            <w:r>
              <w:rPr>
                <w:sz w:val="19"/>
              </w:rPr>
              <w:t>—</w:t>
            </w:r>
          </w:p>
        </w:tc>
      </w:tr>
      <w:tr>
        <w:tc>
          <w:tcPr>
            <w:tcW w:type="dxa" w:w="1728"/>
          </w:tcPr>
          <w:p>
            <w:r>
              <w:rPr>
                <w:sz w:val="19"/>
              </w:rPr>
              <w:t>Local &amp; Google Business Profile</w:t>
            </w:r>
          </w:p>
        </w:tc>
        <w:tc>
          <w:tcPr>
            <w:tcW w:type="dxa" w:w="1728"/>
          </w:tcPr>
          <w:p>
            <w:r>
              <w:rPr>
                <w:sz w:val="19"/>
              </w:rPr>
              <w:t>Attivare</w:t>
            </w:r>
          </w:p>
        </w:tc>
        <w:tc>
          <w:tcPr>
            <w:tcW w:type="dxa" w:w="1728"/>
          </w:tcPr>
          <w:p>
            <w:r>
              <w:rPr>
                <w:sz w:val="19"/>
              </w:rPr>
              <w:t>media</w:t>
            </w:r>
          </w:p>
        </w:tc>
        <w:tc>
          <w:tcPr>
            <w:tcW w:type="dxa" w:w="1728"/>
          </w:tcPr>
          <w:p>
            <w:r>
              <w:rPr>
                <w:sz w:val="19"/>
              </w:rPr>
              <w:t>Schema struttura presente ma senza indirizzo strutturato (NAP): completare il markup LocalBusiness/PostalAddress e allineare la scheda locale.</w:t>
            </w:r>
          </w:p>
        </w:tc>
        <w:tc>
          <w:tcPr>
            <w:tcW w:type="dxa" w:w="1728"/>
          </w:tcPr>
          <w:p>
            <w:r>
              <w:rPr>
                <w:sz w:val="19"/>
              </w:rPr>
              <w:t>—</w:t>
            </w:r>
          </w:p>
        </w:tc>
      </w:tr>
    </w:tbl>
    <w:p>
      <w:pPr>
        <w:spacing w:after="160"/>
      </w:pPr>
    </w:p>
    <w:p>
      <w:r>
        <w:t>La matrice fissa una priorità netta: il Commodore deve giocare d'anticipo su organico, readiness per gli assistenti AI e CRM di ospiti ripetenti, tenendo le OTA come canale gestito e non come nemico, e mettendo in pausa metasearch e spinta diretta finché non sono risolte le dipendenze tecniche che oggi restano non verificate. Non è una scelta ideologica tra diretto e intermediato: è la sequenza che massimizza il ritorno dato lo stato attuale dei presidi, coerente con l'archetipo stagionale della struttura, aperta da primavera-estate e chiusa in autunno-inverno, che impone di concentrare il cantiere digitale nella finestra di chiusura e la raccolta di materiale nella stagione aperta.</w:t>
      </w:r>
    </w:p>
    <w:p>
      <w:pPr>
        <w:spacing w:before="160" w:after="40"/>
      </w:pPr>
      <w:r>
        <w:rPr>
          <w:b/>
          <w:color w:val="2F5D62"/>
          <w:sz w:val="24"/>
        </w:rPr>
        <w:t>Obiettivi misurabili</w:t>
      </w:r>
    </w:p>
    <w:p>
      <w:pPr>
        <w:pStyle w:val="ListBullet"/>
      </w:pPr>
      <w:r>
        <w:t>Portare a presidio organico competitivo un primo blocco di query family e destinazione entro la chiusura del prossimo cantiere invernale (v. sez. 06 per il dettaglio KPI)</w:t>
      </w:r>
    </w:p>
    <w:p>
      <w:pPr>
        <w:pStyle w:val="ListBullet"/>
      </w:pPr>
      <w:r>
        <w:t>Impostare un sistema di raccolta contatti e invio comunicazioni agli ospiti ripetenti (obiettivo di processo: nessuna baseline CRM disponibile oggi)</w:t>
      </w:r>
    </w:p>
    <w:p>
      <w:pPr>
        <w:pStyle w:val="ListBullet"/>
      </w:pPr>
      <w:r>
        <w:t>Completare l'audit tecnico del booking engine e la verifica di parity su metasearch come condizione per sbloccare l'investimento su diretto e Google Hotel Ads (obiettivo di processo)</w:t>
      </w:r>
    </w:p>
    <w:p>
      <w:pPr>
        <w:pStyle w:val="ListBullet"/>
      </w:pPr>
      <w:r>
        <w:t>Rendere le pagine a maggiore concentrazione di domanda family strutturalmente leggibili dagli assistenti AI (obiettivo di processo, verifica tramite audit esteso)</w:t>
      </w:r>
    </w:p>
    <w:p>
      <w:pPr>
        <w:spacing w:before="160" w:after="40"/>
      </w:pPr>
      <w:r>
        <w:rPr>
          <w:b/>
          <w:color w:val="2F5D62"/>
          <w:sz w:val="24"/>
        </w:rPr>
        <w:t>Azioni</w:t>
      </w:r>
    </w:p>
    <w:p>
      <w:r>
        <w:t>Il gap organico più ampio riguarda proprio le query dove il Commodore ha già il prodotto giusto: la domanda su formule family e destinazione generica resta scoperta mentre il target prevalente della struttura è esattamente quello familiare. Questo giustifica un intervento SEO concentrato sul cantiere di chiusura stagionale: ristrutturare le pagine /family e le pagine di destinazione con il lessico corretto (formule, spiaggia inclusa, età bambini gratis), collegarle alle keyword di volume più alto oggi non presidiate, e verificarne l'indicizzazione prima della riapertura della domanda estera e italiana. È un lavoro che non si può fare a struttura aperta: va programmato nella finestra di chiusura e verificato prima che la domanda early-booking si attivi.</w:t>
      </w:r>
    </w:p>
    <w:p>
      <w:r>
        <w:t>La stessa urgenza vale per la visibilità sugli assistenti AI: nella fase di shortlisting familiare il Commodore risulta assente in favore di competitor diretti, mentre il sito possiede già i contenuti (baby room, miniclub, pediatria h24) semplicemente non strutturati in forma estraibile. L'azione è tecnica e non creativa: marcare le pagine family con dati strutturati FAQPage, rendere fattuali ed elencabili i servizi (età, orari, dotazioni), allineare nome-indirizzo-telefono fra sito, profilo locale e portali. È un intervento a basso costo e ad alta leva, da eseguire nello stesso cantiere invernale del lavoro SEO, e da estendere — quando i dati lo permetteranno — alla verifica sugli assistenti oggi non misurabili.</w:t>
      </w:r>
    </w:p>
    <w:p>
      <w:r>
        <w:t>Sul fronte della fidelizzazione, il mix segmenti conferma che il valore del Commodore si costruisce sul ritorno più che sulla prima conquista: famiglie e coppie sono le due componenti dominanti e sono anche i profili più sensibili a un buon rapporto costruito nel tempo. Va impostato un canale di raccolta contatti e invio comunicazioni — a partire dalla comunicazione di riapertura stagionale, con anticipo sufficiente a precedere le finestre di prenotazione dei mercati esteri e italiani — perché oggi non risulta alcun sistema strutturato in questo senso. Questo lavoro precede e condiziona qualunque investimento successivo sul diretto: un ospite che già conosce la struttura è la base più solida su cui costruire margine, prima di rivolgersi a nuova domanda.</w:t>
      </w:r>
    </w:p>
    <w:p>
      <w:r>
        <w:t>Diretto e metasearch restano deliberatamente in attesa: non perché siano canali sbagliati, ma perché mancano oggi i dati che ne giustificano l'investimento — non c'è verifica di parity tariffaria fra sito e portali, né dati sulla velocità o sui passaggi del motore di prenotazione. Spingere budget su Google Hotel Ads o su campagne dirette prima di questa verifica rischia di finanziare un canale che perde comunque conversioni per attrito tecnico. L'azione preliminare è quindi un audit tecnico del motore di prenotazione e un controllo di parity sui principali metasearch: solo a valle di questo, e nella stessa logica di cantiere invernale, il canale diretto potrà essere riattivato con budget dedicato.</w:t>
      </w:r>
    </w:p>
    <w:p>
      <w:r>
        <w:t>Le OTA restano centrali e vanno gestite, non contrastate: la reputazione multipiattaforma è già solida e distribuita (recensioni consistenti su Booking, Hotels.com, Expedia) e il canale continua a garantire visibilità e riempimento nelle fasi di spalla stagionale, quando la domanda diretta è più debole. L'azione qui è di manutenzione: schede aggiornate e coerenti con i servizi comunicati sul sito, in particolare sulla questione parcheggio, dove un disallineamento fra informazione e realtà operativa genera attrito proprio nella fase di prenotazione.</w:t>
      </w:r>
    </w:p>
    <w:p>
      <w:r>
        <w:t>Sul canale business/fiera la decisione è di non investire ora: il calendario fieristico rilevante cade in larga parte fuori dal periodo di apertura della struttura, e la quota di domanda business osservata resta minoritaria e incerta rispetto a famiglia e coppia. È un canale da rivalutare solo se l'archetipo di apertura della struttura dovesse estendersi, non da presidiare nella condizione attuale.</w:t>
      </w:r>
    </w:p>
    <w:p>
      <w:pPr>
        <w:spacing w:before="160" w:after="40"/>
      </w:pPr>
      <w:r>
        <w:rPr>
          <w:b/>
          <w:color w:val="2F5D62"/>
          <w:sz w:val="24"/>
        </w:rPr>
        <w:t>KPI</w:t>
      </w:r>
    </w:p>
    <w:p>
      <w:pPr>
        <w:pStyle w:val="ListBullet"/>
      </w:pPr>
      <w:r>
        <w:t>Indicatori di canale dettagliati in sez. 06 (Measurement): presidio organico, readiness AEO, attivazione CRM, esito audit tecnico booking engine/parity</w:t>
      </w:r>
    </w:p>
    <w:p>
      <w:pPr>
        <w:spacing w:before="160" w:after="40"/>
      </w:pPr>
      <w:r>
        <w:rPr>
          <w:b/>
          <w:color w:val="2F5D62"/>
          <w:sz w:val="24"/>
        </w:rPr>
        <w:t>Note esecutive</w:t>
      </w:r>
    </w:p>
    <w:p>
      <w:pPr>
        <w:pStyle w:val="ListBullet"/>
      </w:pPr>
      <w:r>
        <w:t>Il cantiere SEO/AEO e l'impostazione del CRM vanno programmati nella finestra di chiusura stagionale, non a struttura aperta: la stagione aperta serve invece a raccogliere materiale (foto, video, contenuti) per il lavoro successivo</w:t>
      </w:r>
    </w:p>
    <w:p>
      <w:pPr>
        <w:pStyle w:val="ListBullet"/>
      </w:pPr>
      <w:r>
        <w:t>L'audit tecnico su booking engine e parity è propedeutico e va completato prima di qualunque stanziamento su diretto o metasearch</w:t>
      </w:r>
    </w:p>
    <w:p>
      <w:pPr>
        <w:pStyle w:val="ListBullet"/>
      </w:pPr>
      <w:r>
        <w:t>La comunicazione agli ospiti ripetenti va programmata con anticipo sufficiente a precedere l'apertura della domanda dei mercati esteri e italiani, non contestualmente alla riapertura</w:t>
      </w:r>
    </w:p>
    <w:p>
      <w:pPr>
        <w:pStyle w:val="ListBullet"/>
      </w:pPr>
      <w:r>
        <w:t>Le pagine business/sport restano online ma non ricevono investimento incrementale in questa fase, salvo revisione dell'archetipo di apertura della struttura</w:t>
      </w:r>
    </w:p>
    <w:p>
      <w:r>
        <w:br w:type="page"/>
      </w:r>
    </w:p>
    <w:p>
      <w:pPr>
        <w:spacing w:after="0"/>
      </w:pPr>
      <w:r>
        <w:rPr>
          <w:b/>
          <w:color w:val="2F5D62"/>
          <w:sz w:val="18"/>
        </w:rPr>
        <w:t>SEZIONE 04</w:t>
      </w:r>
    </w:p>
    <w:p>
      <w:pPr>
        <w:spacing w:after="200"/>
        <w:pBdr>
          <w:bottom w:val="single" w:sz="18" w:space="6" w:color="2F5D62"/>
        </w:pBdr>
      </w:pPr>
      <w:r>
        <w:rPr>
          <w:b/>
          <w:color w:val="1A1A2E"/>
          <w:sz w:val="40"/>
        </w:rPr>
        <w:t>Distribuzione &amp; mercati</w:t>
      </w:r>
    </w:p>
    <w:p>
      <w:r>
        <w:t>Il mix di canale del Commodore va governato, non riscritto: i portali restano un canale di acquisizione e scoperta legittimo per una struttura stagionale mid-range, mentre il mercato reale è oggi quasi interamente italiano con presenze estere ancora marginali. La priorità di questa sezione non è forzare un riequilibrio verso il diretto senza basi, ma tre mosse concrete e verificabili: presidiare meglio le schede sui portali dove il Commodore è già intermediato, valutare con un test mirato — non con un investimento strutturale — l'apertura verso i mercati di lingua tedesca e inglese che oggi pesano poco nel mix, e mettere in sicurezza la coerenza tra ciò che i portali promettono (parcheggio incluso) e ciò che la struttura offre davvero, un punto già segnalato come frizione reputazionale.</w:t>
      </w:r>
    </w:p>
    <w:p>
      <w:pPr>
        <w:spacing w:before="160" w:after="40"/>
      </w:pPr>
      <w:r>
        <w:rPr>
          <w:b/>
          <w:color w:val="2F5D62"/>
          <w:sz w:val="24"/>
        </w:rPr>
        <w:t>Obiettivi misurabili</w:t>
      </w:r>
    </w:p>
    <w:p>
      <w:pPr>
        <w:pStyle w:val="ListBullet"/>
      </w:pPr>
      <w:r>
        <w:t>Portare a piena coerenza contenutistica (foto, servizi family/sport, testo descrittivo) le schede del Commodore sui principali portali entro la chiusura del cantiere invernale (v. sez. 05)</w:t>
      </w:r>
    </w:p>
    <w:p>
      <w:pPr>
        <w:pStyle w:val="ListBullet"/>
      </w:pPr>
      <w:r>
        <w:t>Impostare un test controllato sul mercato di lingua tedesca (landing + micro-pilota a pagamento) entro la finestra di apertura stagionale, come obiettivo di processo (non esiste oggi una baseline di prenotazioni dirette da quel mercato)</w:t>
      </w:r>
    </w:p>
    <w:p>
      <w:pPr>
        <w:pStyle w:val="ListBullet"/>
      </w:pPr>
      <w:r>
        <w:t>Eliminare l'ambiguità informativa sul parcheggio su tutti i canali intermediati e sul sito, come obiettivo di processo prioritario e a breve termine</w:t>
      </w:r>
    </w:p>
    <w:p>
      <w:pPr>
        <w:spacing w:before="160" w:after="40"/>
      </w:pPr>
      <w:r>
        <w:rPr>
          <w:b/>
          <w:color w:val="2F5D62"/>
          <w:sz w:val="24"/>
        </w:rPr>
        <w:t>Azioni</w:t>
      </w:r>
    </w:p>
    <w:p>
      <w:pPr>
        <w:pStyle w:val="ListBullet"/>
      </w:pPr>
      <w:r>
        <w:t>Il mix lingua delle recensioni segnala una clientela oggi quasi tutta italiana, con tedesco e inglese ciascuno a una quota singola marginale: questo significa che i mercati esteri non sono oggi un bacino consolidato ma un'area da testare, non da presidiare con budget strutturale. L'azione è impostare una pagina in lingua tedesca dedicata alla Sky Room con vasca idromassaggio privata e alle escursioni nell'entroterra romagnolo — leve coerenti con un profilo di coppia/famiglia benestante nord-europea — e affiancarla a un pilota a pagamento contenuto, attivo solo nella finestra di apertura stagionale già fissata in roadmap, da valutare a consuntivo prima di ogni ulteriore investimento.</w:t>
      </w:r>
    </w:p>
    <w:p>
      <w:pPr>
        <w:pStyle w:val="ListBullet"/>
      </w:pPr>
      <w:r>
        <w:t>La struttura offre un prodotto fronte mare distintivo (Sky Restaurant panoramico, spiagge convenzionate) che oggi passa soprattutto attraverso canali intermediati: questo rende necessario che la scheda su ciascun portale primario (Booking, Google Hotel, Hotels.com, Expedia) rappresenti fedelmente questi elementi con foto aggiornate e testo coerente al sito ufficiale, così da massimizzare la conversione nel momento in cui il portale porta la domanda, anche quando la prenotazione finale resta intermediata.</w:t>
      </w:r>
    </w:p>
    <w:p>
      <w:pPr>
        <w:pStyle w:val="ListBullet"/>
      </w:pPr>
      <w:r>
        <w:t>La criticità sul parcheggio, già segnalata come frizione reputazionale in una quota minoritaria ma qualificata di recensioni, nasce da un disallineamento tra quanto indicato sui portali (parcheggio presentato come disponibile) e la realtà operativa (parcheggio pubblico a pagamento nei paraggi). Poiché questa informazione arriva al viaggiatore proprio nella fase di validazione pre-prenotazione, va corretta su tutti i canali intermediati e sulla scheda Google Business Profile con un testo esplicito su disponibilità e modalità, per ridurre le aspettative disattese prima ancora che il diretto o l'indiretto stesso perdano conversioni.</w:t>
      </w:r>
    </w:p>
    <w:p>
      <w:pPr>
        <w:pStyle w:val="ListBullet"/>
      </w:pPr>
      <w:r>
        <w:t>Il canale diretto va rafforzato in parallelo (v. sez. 03 per il presidio organico e la matrice canali), ma senza sostituire la centralità attuale dei portali: la mossa corretta è aggiungere presidio e coerenza sul canale intermediato esistente, non competere contro di esso nella fase in cui la struttura non dispone ancora di una baseline di prenotazione diretta misurata.</w:t>
      </w:r>
    </w:p>
    <w:p>
      <w:pPr>
        <w:spacing w:before="160" w:after="40"/>
      </w:pPr>
      <w:r>
        <w:rPr>
          <w:b/>
          <w:color w:val="2F5D62"/>
          <w:sz w:val="24"/>
        </w:rPr>
        <w:t>KPI</w:t>
      </w:r>
    </w:p>
    <w:p>
      <w:pPr>
        <w:pStyle w:val="ListBullet"/>
      </w:pPr>
      <w:r>
        <w:t>v. sez. 06 per i KPI numerici di misurazione; qui si richiama solo la coerenza delle schede portale e l'esito del test mercato tedesco come controlli operativi di questa sezione</w:t>
      </w:r>
    </w:p>
    <w:p>
      <w:pPr>
        <w:spacing w:before="160" w:after="40"/>
      </w:pPr>
      <w:r>
        <w:rPr>
          <w:b/>
          <w:color w:val="2F5D62"/>
          <w:sz w:val="24"/>
        </w:rPr>
        <w:t>Note esecutive</w:t>
      </w:r>
    </w:p>
    <w:p>
      <w:pPr>
        <w:pStyle w:val="ListBullet"/>
      </w:pPr>
      <w:r>
        <w:t>Il test sul mercato tedesco è un pilota a budget contenuto e a tempo, non una campagna strutturale: la decisione di proseguire o meno si prende sui risultati del pilota stesso, non su un obiettivo di quota predefinito.</w:t>
      </w:r>
    </w:p>
    <w:p>
      <w:pPr>
        <w:pStyle w:val="ListBullet"/>
      </w:pPr>
      <w:r>
        <w:t>La correzione dell'informazione sul parcheggio è un intervento a costo minimo e ad alta priorità: va eseguita indipendentemente dal resto del piano e prima dell'apertura della prossima stagione.</w:t>
      </w:r>
    </w:p>
    <w:p>
      <w:pPr>
        <w:pStyle w:val="ListBullet"/>
      </w:pPr>
      <w:r>
        <w:t>Le condizioni tariffarie e di rendimento restano di competenza della struttura: questo piano si limita a coerenza informativa e presidio della vetrina sui canali, non tocca prezzi o listini.</w:t>
      </w:r>
    </w:p>
    <w:p>
      <w:r>
        <w:br w:type="page"/>
      </w:r>
    </w:p>
    <w:p>
      <w:pPr>
        <w:spacing w:after="0"/>
      </w:pPr>
      <w:r>
        <w:rPr>
          <w:b/>
          <w:color w:val="2F5D62"/>
          <w:sz w:val="18"/>
        </w:rPr>
        <w:t>SEZIONE 05</w:t>
      </w:r>
    </w:p>
    <w:p>
      <w:pPr>
        <w:spacing w:after="200"/>
        <w:pBdr>
          <w:bottom w:val="single" w:sz="18" w:space="6" w:color="2F5D62"/>
        </w:pBdr>
      </w:pPr>
      <w:r>
        <w:rPr>
          <w:b/>
          <w:color w:val="1A1A2E"/>
          <w:sz w:val="40"/>
        </w:rPr>
        <w:t>Roadmap 12 mesi</w:t>
      </w:r>
    </w:p>
    <w:p>
      <w:pPr>
        <w:spacing w:before="160" w:after="40"/>
      </w:pPr>
      <w:r>
        <w:rPr>
          <w:b/>
          <w:color w:val="2F5D62"/>
          <w:sz w:val="24"/>
        </w:rPr>
        <w:t>Vincoli operativi della roadmap (decision record)</w:t>
      </w:r>
    </w:p>
    <w:p>
      <w:r>
        <w:t>Archetipo operativo: stagionale puro (~mag-set). Mesi di apertura: apr, mag, giu, lug, ago, set.</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Vincolo</w:t>
            </w:r>
          </w:p>
        </w:tc>
        <w:tc>
          <w:tcPr>
            <w:tcW w:type="dxa" w:w="2880"/>
            <w:shd w:val="clear" w:color="auto" w:fill="2F5D62"/>
          </w:tcPr>
          <w:p>
            <w:r>
              <w:rPr>
                <w:b/>
                <w:color w:val="FFFFFF"/>
                <w:sz w:val="19"/>
              </w:rPr>
              <w:t>Quando</w:t>
            </w:r>
          </w:p>
        </w:tc>
        <w:tc>
          <w:tcPr>
            <w:tcW w:type="dxa" w:w="2880"/>
            <w:shd w:val="clear" w:color="auto" w:fill="2F5D62"/>
          </w:tcPr>
          <w:p>
            <w:r>
              <w:rPr>
                <w:b/>
                <w:color w:val="FFFFFF"/>
                <w:sz w:val="19"/>
              </w:rPr>
              <w:t>Perché</w:t>
            </w:r>
          </w:p>
        </w:tc>
      </w:tr>
      <w:tr>
        <w:tc>
          <w:tcPr>
            <w:tcW w:type="dxa" w:w="2880"/>
          </w:tcPr>
          <w:p>
            <w:r>
              <w:rPr>
                <w:sz w:val="19"/>
              </w:rPr>
              <w:t>Chiusura listino/pacchetti</w:t>
            </w:r>
          </w:p>
        </w:tc>
        <w:tc>
          <w:tcPr>
            <w:tcW w:type="dxa" w:w="2880"/>
          </w:tcPr>
          <w:p>
            <w:r>
              <w:rPr>
                <w:sz w:val="19"/>
              </w:rPr>
              <w:t>nov</w:t>
            </w:r>
          </w:p>
        </w:tc>
        <w:tc>
          <w:tcPr>
            <w:tcW w:type="dxa" w:w="2880"/>
          </w:tcPr>
          <w:p>
            <w:r>
              <w:rPr>
                <w:sz w:val="19"/>
              </w:rPr>
              <w:t>vendite prenotabili prima dell'apertura delle finestre di mercato</w:t>
            </w:r>
          </w:p>
        </w:tc>
      </w:tr>
      <w:tr>
        <w:tc>
          <w:tcPr>
            <w:tcW w:type="dxa" w:w="2880"/>
            <w:shd w:val="clear" w:color="auto" w:fill="EEF2F1"/>
          </w:tcPr>
          <w:p>
            <w:r>
              <w:rPr>
                <w:sz w:val="19"/>
              </w:rPr>
              <w:t>Apertura vendite per mercato</w:t>
            </w:r>
          </w:p>
        </w:tc>
        <w:tc>
          <w:tcPr>
            <w:tcW w:type="dxa" w:w="2880"/>
            <w:shd w:val="clear" w:color="auto" w:fill="EEF2F1"/>
          </w:tcPr>
          <w:p>
            <w:r>
              <w:rPr>
                <w:sz w:val="19"/>
              </w:rPr>
              <w:t>IT_estate gen; UK nov</w:t>
            </w:r>
          </w:p>
        </w:tc>
        <w:tc>
          <w:tcPr>
            <w:tcW w:type="dxa" w:w="2880"/>
            <w:shd w:val="clear" w:color="auto" w:fill="EEF2F1"/>
          </w:tcPr>
          <w:p>
            <w:r>
              <w:rPr>
                <w:sz w:val="19"/>
              </w:rPr>
              <w:t>anticipo derivato dalle finestre di prenotazione</w:t>
            </w:r>
          </w:p>
        </w:tc>
      </w:tr>
      <w:tr>
        <w:tc>
          <w:tcPr>
            <w:tcW w:type="dxa" w:w="2880"/>
          </w:tcPr>
          <w:p>
            <w:r>
              <w:rPr>
                <w:sz w:val="19"/>
              </w:rPr>
              <w:t>Cantiere (setup tecnico/contenuti)</w:t>
            </w:r>
          </w:p>
        </w:tc>
        <w:tc>
          <w:tcPr>
            <w:tcW w:type="dxa" w:w="2880"/>
          </w:tcPr>
          <w:p>
            <w:r>
              <w:rPr>
                <w:sz w:val="19"/>
              </w:rPr>
              <w:t>gen, feb, mar, ott, nov, dic</w:t>
            </w:r>
          </w:p>
        </w:tc>
        <w:tc>
          <w:tcPr>
            <w:tcW w:type="dxa" w:w="2880"/>
          </w:tcPr>
          <w:p>
            <w:r>
              <w:rPr>
                <w:sz w:val="19"/>
              </w:rPr>
              <w:t>mai in stagione: sta nei mesi di chiusura</w:t>
            </w:r>
          </w:p>
        </w:tc>
      </w:tr>
      <w:tr>
        <w:tc>
          <w:tcPr>
            <w:tcW w:type="dxa" w:w="2880"/>
            <w:shd w:val="clear" w:color="auto" w:fill="EEF2F1"/>
          </w:tcPr>
          <w:p>
            <w:r>
              <w:rPr>
                <w:sz w:val="19"/>
              </w:rPr>
              <w:t>Raccolta foto/video</w:t>
            </w:r>
          </w:p>
        </w:tc>
        <w:tc>
          <w:tcPr>
            <w:tcW w:type="dxa" w:w="2880"/>
            <w:shd w:val="clear" w:color="auto" w:fill="EEF2F1"/>
          </w:tcPr>
          <w:p>
            <w:r>
              <w:rPr>
                <w:sz w:val="19"/>
              </w:rPr>
              <w:t>apr, mag, giu, lug, ago, set</w:t>
            </w:r>
          </w:p>
        </w:tc>
        <w:tc>
          <w:tcPr>
            <w:tcW w:type="dxa" w:w="2880"/>
            <w:shd w:val="clear" w:color="auto" w:fill="EEF2F1"/>
          </w:tcPr>
          <w:p>
            <w:r>
              <w:rPr>
                <w:sz w:val="19"/>
              </w:rPr>
              <w:t>a hotel aperto: l'hotel chiuso non si fotografa</w:t>
            </w:r>
          </w:p>
        </w:tc>
      </w:tr>
      <w:tr>
        <w:tc>
          <w:tcPr>
            <w:tcW w:type="dxa" w:w="2880"/>
          </w:tcPr>
          <w:p>
            <w:r>
              <w:rPr>
                <w:sz w:val="19"/>
              </w:rPr>
              <w:t>Fiere in stagione (gate business)</w:t>
            </w:r>
          </w:p>
        </w:tc>
        <w:tc>
          <w:tcPr>
            <w:tcW w:type="dxa" w:w="2880"/>
          </w:tcPr>
          <w:p>
            <w:r>
              <w:rPr>
                <w:sz w:val="19"/>
              </w:rPr>
              <w:t>RiminiWellness, World Ducati Week, Meeting di Rimini, Tecna</w:t>
            </w:r>
          </w:p>
        </w:tc>
        <w:tc>
          <w:tcPr>
            <w:tcW w:type="dxa" w:w="2880"/>
          </w:tcPr>
          <w:p>
            <w:r>
              <w:rPr>
                <w:sz w:val="19"/>
              </w:rPr>
              <w:t>eccezioni presidiabili: la domanda fiere fuori apertura resta 'non ora'</w:t>
            </w:r>
          </w:p>
        </w:tc>
      </w:tr>
      <w:tr>
        <w:tc>
          <w:tcPr>
            <w:tcW w:type="dxa" w:w="2880"/>
            <w:shd w:val="clear" w:color="auto" w:fill="EEF2F1"/>
          </w:tcPr>
          <w:p>
            <w:r>
              <w:rPr>
                <w:sz w:val="19"/>
              </w:rPr>
              <w:t>Picchi evento di destinazione</w:t>
            </w:r>
          </w:p>
        </w:tc>
        <w:tc>
          <w:tcPr>
            <w:tcW w:type="dxa" w:w="2880"/>
            <w:shd w:val="clear" w:color="auto" w:fill="EEF2F1"/>
          </w:tcPr>
          <w:p>
            <w:r>
              <w:rPr>
                <w:sz w:val="19"/>
              </w:rPr>
              <w:t>Notte Rosa (2026-06-19)</w:t>
            </w:r>
          </w:p>
        </w:tc>
        <w:tc>
          <w:tcPr>
            <w:tcW w:type="dxa" w:w="2880"/>
            <w:shd w:val="clear" w:color="auto" w:fill="EEF2F1"/>
          </w:tcPr>
          <w:p>
            <w:r>
              <w:rPr>
                <w:sz w:val="19"/>
              </w:rPr>
              <w:t>picchi di domanda weekend da nominare nella roadmap</w:t>
            </w:r>
          </w:p>
        </w:tc>
      </w:tr>
    </w:tbl>
    <w:p>
      <w:pPr>
        <w:spacing w:after="160"/>
      </w:pPr>
    </w:p>
    <w:p>
      <w:pPr>
        <w:spacing w:before="160" w:after="40"/>
      </w:pPr>
      <w:r>
        <w:rPr>
          <w:b/>
          <w:color w:val="2F5D62"/>
          <w:sz w:val="24"/>
        </w:rPr>
        <w:t>Finestre di campagna per segmento (ancorate al picco reale)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Avvio campagna</w:t>
            </w:r>
          </w:p>
        </w:tc>
        <w:tc>
          <w:tcPr>
            <w:tcW w:type="dxa" w:w="2160"/>
            <w:shd w:val="clear" w:color="auto" w:fill="2F5D62"/>
          </w:tcPr>
          <w:p>
            <w:r>
              <w:rPr>
                <w:b/>
                <w:color w:val="FFFFFF"/>
                <w:sz w:val="19"/>
              </w:rPr>
              <w:t>Mese di picco</w:t>
            </w:r>
          </w:p>
        </w:tc>
        <w:tc>
          <w:tcPr>
            <w:tcW w:type="dxa" w:w="2160"/>
            <w:shd w:val="clear" w:color="auto" w:fill="2F5D62"/>
          </w:tcPr>
          <w:p>
            <w:r>
              <w:rPr>
                <w:b/>
                <w:color w:val="FFFFFF"/>
                <w:sz w:val="19"/>
              </w:rPr>
              <w:t>Anticipo (mesi)</w:t>
            </w:r>
          </w:p>
        </w:tc>
      </w:tr>
      <w:tr>
        <w:tc>
          <w:tcPr>
            <w:tcW w:type="dxa" w:w="2160"/>
          </w:tcPr>
          <w:p>
            <w:r>
              <w:rPr>
                <w:sz w:val="19"/>
              </w:rPr>
              <w:t>Famiglie</w:t>
            </w:r>
          </w:p>
        </w:tc>
        <w:tc>
          <w:tcPr>
            <w:tcW w:type="dxa" w:w="2160"/>
          </w:tcPr>
          <w:p>
            <w:r>
              <w:rPr>
                <w:sz w:val="19"/>
              </w:rPr>
              <w:t>mar</w:t>
            </w:r>
          </w:p>
        </w:tc>
        <w:tc>
          <w:tcPr>
            <w:tcW w:type="dxa" w:w="2160"/>
          </w:tcPr>
          <w:p>
            <w:r>
              <w:rPr>
                <w:sz w:val="19"/>
              </w:rPr>
              <w:t>giu</w:t>
            </w:r>
          </w:p>
        </w:tc>
        <w:tc>
          <w:tcPr>
            <w:tcW w:type="dxa" w:w="2160"/>
          </w:tcPr>
          <w:p>
            <w:r>
              <w:rPr>
                <w:sz w:val="19"/>
              </w:rPr>
              <w:t>3</w:t>
            </w:r>
          </w:p>
        </w:tc>
      </w:tr>
      <w:tr>
        <w:tc>
          <w:tcPr>
            <w:tcW w:type="dxa" w:w="2160"/>
            <w:shd w:val="clear" w:color="auto" w:fill="EEF2F1"/>
          </w:tcPr>
          <w:p>
            <w:r>
              <w:rPr>
                <w:sz w:val="19"/>
              </w:rPr>
              <w:t>Coppie</w:t>
            </w:r>
          </w:p>
        </w:tc>
        <w:tc>
          <w:tcPr>
            <w:tcW w:type="dxa" w:w="2160"/>
            <w:shd w:val="clear" w:color="auto" w:fill="EEF2F1"/>
          </w:tcPr>
          <w:p>
            <w:r>
              <w:rPr>
                <w:sz w:val="19"/>
              </w:rPr>
              <w:t>apr</w:t>
            </w:r>
          </w:p>
        </w:tc>
        <w:tc>
          <w:tcPr>
            <w:tcW w:type="dxa" w:w="2160"/>
            <w:shd w:val="clear" w:color="auto" w:fill="EEF2F1"/>
          </w:tcPr>
          <w:p>
            <w:r>
              <w:rPr>
                <w:sz w:val="19"/>
              </w:rPr>
              <w:t>giu</w:t>
            </w:r>
          </w:p>
        </w:tc>
        <w:tc>
          <w:tcPr>
            <w:tcW w:type="dxa" w:w="2160"/>
            <w:shd w:val="clear" w:color="auto" w:fill="EEF2F1"/>
          </w:tcPr>
          <w:p>
            <w:r>
              <w:rPr>
                <w:sz w:val="19"/>
              </w:rPr>
              <w:t>2</w:t>
            </w:r>
          </w:p>
        </w:tc>
      </w:tr>
      <w:tr>
        <w:tc>
          <w:tcPr>
            <w:tcW w:type="dxa" w:w="2160"/>
          </w:tcPr>
          <w:p>
            <w:r>
              <w:rPr>
                <w:sz w:val="19"/>
              </w:rPr>
              <w:t>DACH</w:t>
            </w:r>
          </w:p>
        </w:tc>
        <w:tc>
          <w:tcPr>
            <w:tcW w:type="dxa" w:w="2160"/>
          </w:tcPr>
          <w:p>
            <w:r>
              <w:rPr>
                <w:sz w:val="19"/>
              </w:rPr>
              <w:t>mar</w:t>
            </w:r>
          </w:p>
        </w:tc>
        <w:tc>
          <w:tcPr>
            <w:tcW w:type="dxa" w:w="2160"/>
          </w:tcPr>
          <w:p>
            <w:r>
              <w:rPr>
                <w:sz w:val="19"/>
              </w:rPr>
              <w:t>giu</w:t>
            </w:r>
          </w:p>
        </w:tc>
        <w:tc>
          <w:tcPr>
            <w:tcW w:type="dxa" w:w="2160"/>
          </w:tcPr>
          <w:p>
            <w:r>
              <w:rPr>
                <w:sz w:val="19"/>
              </w:rPr>
              <w:t>3</w:t>
            </w:r>
          </w:p>
        </w:tc>
      </w:tr>
    </w:tbl>
    <w:p>
      <w:pPr>
        <w:spacing w:after="160"/>
      </w:pPr>
    </w:p>
    <w:p>
      <w:r>
        <w:t>L'Hotel Commodore è una struttura stagionale (archetipo A1/A2): la stagione operativa piena resta il periodo di riferimento per accoglienza e servizio, mentre il cantiere tecnico-digitale (sito, dati strutturati, contenuti, listino, tracciamento) va confinato ai mesi di chiusura, quando lo staff non è assorbito dall'operatività quotidiana e la struttura può permettersi il lavoro di fondo senza sottrarre risorse all'ospite in casa. I mesi di apertura effettivi non sono dichiarati esplicitamente nel materiale a disposizione: si assume qui una stagione balneare classica (indicativamente da primavera a inizio autunno), da validare col cliente — vedi sez. 08. La raccolta di materiale fotografico e testimonianze (foto ospiti, contenuti Sky Restaurant, momenti family) va programmata invece nella finestra di apertura, perché una struttura chiusa non è fotografabile e quel materiale alimenta poi il cantiere invernale successivo.</w:t>
      </w:r>
    </w:p>
    <w:p>
      <w:pPr>
        <w:spacing w:before="160" w:after="40"/>
      </w:pPr>
      <w:r>
        <w:rPr>
          <w:b/>
          <w:color w:val="2F5D62"/>
          <w:sz w:val="24"/>
        </w:rPr>
        <w:t>Obiettivi misurabili</w:t>
      </w:r>
    </w:p>
    <w:p>
      <w:pPr>
        <w:pStyle w:val="ListBullet"/>
      </w:pPr>
      <w:r>
        <w:t>Chiudere il cantiere organico/AEO (schema, contenuti /family e /sport, FAQPage) prima della riapertura, secondo la scadenza indicata nella tabella di roadmap (v. sez. 06 per i KPI di dettaglio)</w:t>
      </w:r>
    </w:p>
    <w:p>
      <w:pPr>
        <w:pStyle w:val="ListBullet"/>
      </w:pPr>
      <w:r>
        <w:t>Attivare la comunicazione di riapertura verso i ripetenti e l'early booking sui mercati esteri con l'anticipo richiesto dai rispettivi lead time, prima dell'apertura della domanda di stagione</w:t>
      </w:r>
    </w:p>
    <w:p>
      <w:pPr>
        <w:pStyle w:val="ListBullet"/>
      </w:pPr>
      <w:r>
        <w:t>Presidiare i gate stagionali (fiere/eventi che ricadono nel periodo di apertura, se presenti) con una pagina/offerta dedicata, invece di lasciarli scoperti come oggi</w:t>
      </w:r>
    </w:p>
    <w:p>
      <w:pPr>
        <w:spacing w:before="160" w:after="40"/>
      </w:pPr>
      <w:r>
        <w:rPr>
          <w:b/>
          <w:color w:val="2F5D62"/>
          <w:sz w:val="24"/>
        </w:rPr>
        <w:t>Azioni per fase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Periodo</w:t>
            </w:r>
          </w:p>
        </w:tc>
        <w:tc>
          <w:tcPr>
            <w:tcW w:type="dxa" w:w="2160"/>
            <w:shd w:val="clear" w:color="auto" w:fill="2F5D62"/>
          </w:tcPr>
          <w:p>
            <w:r>
              <w:rPr>
                <w:b/>
                <w:color w:val="FFFFFF"/>
                <w:sz w:val="19"/>
              </w:rPr>
              <w:t>Fase</w:t>
            </w:r>
          </w:p>
        </w:tc>
        <w:tc>
          <w:tcPr>
            <w:tcW w:type="dxa" w:w="2160"/>
            <w:shd w:val="clear" w:color="auto" w:fill="2F5D62"/>
          </w:tcPr>
          <w:p>
            <w:r>
              <w:rPr>
                <w:b/>
                <w:color w:val="FFFFFF"/>
                <w:sz w:val="19"/>
              </w:rPr>
              <w:t>Attività principali</w:t>
            </w:r>
          </w:p>
        </w:tc>
        <w:tc>
          <w:tcPr>
            <w:tcW w:type="dxa" w:w="2160"/>
            <w:shd w:val="clear" w:color="auto" w:fill="2F5D62"/>
          </w:tcPr>
          <w:p>
            <w:r>
              <w:rPr>
                <w:b/>
                <w:color w:val="FFFFFF"/>
                <w:sz w:val="19"/>
              </w:rPr>
              <w:t>Owner</w:t>
            </w:r>
          </w:p>
        </w:tc>
      </w:tr>
      <w:tr>
        <w:tc>
          <w:tcPr>
            <w:tcW w:type="dxa" w:w="2160"/>
          </w:tcPr>
          <w:p>
            <w:r>
              <w:rPr>
                <w:sz w:val="19"/>
              </w:rPr>
              <w:t>Chiusura (autunno-inverno)</w:t>
            </w:r>
          </w:p>
        </w:tc>
        <w:tc>
          <w:tcPr>
            <w:tcW w:type="dxa" w:w="2160"/>
          </w:tcPr>
          <w:p>
            <w:r>
              <w:rPr>
                <w:sz w:val="19"/>
              </w:rPr>
              <w:t>Setup tecnico-contenutistico</w:t>
            </w:r>
          </w:p>
        </w:tc>
        <w:tc>
          <w:tcPr>
            <w:tcW w:type="dxa" w:w="2160"/>
          </w:tcPr>
          <w:p>
            <w:r>
              <w:rPr>
                <w:sz w:val="19"/>
              </w:rPr>
              <w:t>Interventi SEO/AEO su /family e /sport (dati strutturati, FAQPage, lessico family: formule pensione, plan bambini, spiaggia inclusa); revisione comunicazione parcheggio su sito e Google Business Profile; verifica NAP e contatti diretti; preparazione listino e pacchetti pronti prima dell'apertura della domanda estera</w:t>
            </w:r>
          </w:p>
        </w:tc>
        <w:tc>
          <w:tcPr>
            <w:tcW w:type="dxa" w:w="2160"/>
          </w:tcPr>
          <w:p>
            <w:r>
              <w:rPr>
                <w:sz w:val="19"/>
              </w:rPr>
              <w:t>Agenzia + struttura (referente digitale)</w:t>
            </w:r>
          </w:p>
        </w:tc>
      </w:tr>
      <w:tr>
        <w:tc>
          <w:tcPr>
            <w:tcW w:type="dxa" w:w="2160"/>
            <w:shd w:val="clear" w:color="auto" w:fill="EEF2F1"/>
          </w:tcPr>
          <w:p>
            <w:r>
              <w:rPr>
                <w:sz w:val="19"/>
              </w:rPr>
              <w:t>Chiusura (inverno inoltrato)</w:t>
            </w:r>
          </w:p>
        </w:tc>
        <w:tc>
          <w:tcPr>
            <w:tcW w:type="dxa" w:w="2160"/>
            <w:shd w:val="clear" w:color="auto" w:fill="EEF2F1"/>
          </w:tcPr>
          <w:p>
            <w:r>
              <w:rPr>
                <w:sz w:val="19"/>
              </w:rPr>
              <w:t>Attivazione CRM e vendite anticipate</w:t>
            </w:r>
          </w:p>
        </w:tc>
        <w:tc>
          <w:tcPr>
            <w:tcW w:type="dxa" w:w="2160"/>
            <w:shd w:val="clear" w:color="auto" w:fill="EEF2F1"/>
          </w:tcPr>
          <w:p>
            <w:r>
              <w:rPr>
                <w:sz w:val="19"/>
              </w:rPr>
              <w:t>Invio newsletter di riapertura ai ripetenti con data di apertura ben visibile; avvio comunicazione early booking verso i mercati che prenotano con largo anticipo (tedesco in primis, dato il lead time lungo); impostazione tracciamento contatti diretti/telefono/WhatsApp</w:t>
            </w:r>
          </w:p>
        </w:tc>
        <w:tc>
          <w:tcPr>
            <w:tcW w:type="dxa" w:w="2160"/>
            <w:shd w:val="clear" w:color="auto" w:fill="EEF2F1"/>
          </w:tcPr>
          <w:p>
            <w:r>
              <w:rPr>
                <w:sz w:val="19"/>
              </w:rPr>
              <w:t>Struttura (front office) + agenzia (CRM)</w:t>
            </w:r>
          </w:p>
        </w:tc>
      </w:tr>
      <w:tr>
        <w:tc>
          <w:tcPr>
            <w:tcW w:type="dxa" w:w="2160"/>
          </w:tcPr>
          <w:p>
            <w:r>
              <w:rPr>
                <w:sz w:val="19"/>
              </w:rPr>
              <w:t>Apertura (primavera-inizio estate)</w:t>
            </w:r>
          </w:p>
        </w:tc>
        <w:tc>
          <w:tcPr>
            <w:tcW w:type="dxa" w:w="2160"/>
          </w:tcPr>
          <w:p>
            <w:r>
              <w:rPr>
                <w:sz w:val="19"/>
              </w:rPr>
              <w:t>Lancio stagione</w:t>
            </w:r>
          </w:p>
        </w:tc>
        <w:tc>
          <w:tcPr>
            <w:tcW w:type="dxa" w:w="2160"/>
          </w:tcPr>
          <w:p>
            <w:r>
              <w:rPr>
                <w:sz w:val="19"/>
              </w:rPr>
              <w:t>Pubblicazione contenuti aggiornati e pacchetti family/coppia; presidio dei gate fieristici/eventi che ricadono nel periodo di apertura, se presenti in calendario; avvio raccolta materiale fotografico e recensioni 'sul campo'</w:t>
            </w:r>
          </w:p>
        </w:tc>
        <w:tc>
          <w:tcPr>
            <w:tcW w:type="dxa" w:w="2160"/>
          </w:tcPr>
          <w:p>
            <w:r>
              <w:rPr>
                <w:sz w:val="19"/>
              </w:rPr>
              <w:t>Struttura + agenzia (monitoraggio)</w:t>
            </w:r>
          </w:p>
        </w:tc>
      </w:tr>
      <w:tr>
        <w:tc>
          <w:tcPr>
            <w:tcW w:type="dxa" w:w="2160"/>
            <w:shd w:val="clear" w:color="auto" w:fill="EEF2F1"/>
          </w:tcPr>
          <w:p>
            <w:r>
              <w:rPr>
                <w:sz w:val="19"/>
              </w:rPr>
              <w:t>Piena stagione (estate)</w:t>
            </w:r>
          </w:p>
        </w:tc>
        <w:tc>
          <w:tcPr>
            <w:tcW w:type="dxa" w:w="2160"/>
            <w:shd w:val="clear" w:color="auto" w:fill="EEF2F1"/>
          </w:tcPr>
          <w:p>
            <w:r>
              <w:rPr>
                <w:sz w:val="19"/>
              </w:rPr>
              <w:t>Presidio leggero, no cantiere</w:t>
            </w:r>
          </w:p>
        </w:tc>
        <w:tc>
          <w:tcPr>
            <w:tcW w:type="dxa" w:w="2160"/>
            <w:shd w:val="clear" w:color="auto" w:fill="EEF2F1"/>
          </w:tcPr>
          <w:p>
            <w:r>
              <w:rPr>
                <w:sz w:val="19"/>
              </w:rPr>
              <w:t>Risposta recensioni, contenuti 'dal campo', gestione tariffe vicino alle date (vetrina, non revenue); nessun intervento tecnico strutturale in questa finestra</w:t>
            </w:r>
          </w:p>
        </w:tc>
        <w:tc>
          <w:tcPr>
            <w:tcW w:type="dxa" w:w="2160"/>
            <w:shd w:val="clear" w:color="auto" w:fill="EEF2F1"/>
          </w:tcPr>
          <w:p>
            <w:r>
              <w:rPr>
                <w:sz w:val="19"/>
              </w:rPr>
              <w:t>Struttura (front office/social)</w:t>
            </w:r>
          </w:p>
        </w:tc>
      </w:tr>
      <w:tr>
        <w:tc>
          <w:tcPr>
            <w:tcW w:type="dxa" w:w="2160"/>
          </w:tcPr>
          <w:p>
            <w:r>
              <w:rPr>
                <w:sz w:val="19"/>
              </w:rPr>
              <w:t>Chiusura successiva</w:t>
            </w:r>
          </w:p>
        </w:tc>
        <w:tc>
          <w:tcPr>
            <w:tcW w:type="dxa" w:w="2160"/>
          </w:tcPr>
          <w:p>
            <w:r>
              <w:rPr>
                <w:sz w:val="19"/>
              </w:rPr>
              <w:t>Ottimizzazione e nuovo ciclo</w:t>
            </w:r>
          </w:p>
        </w:tc>
        <w:tc>
          <w:tcPr>
            <w:tcW w:type="dxa" w:w="2160"/>
          </w:tcPr>
          <w:p>
            <w:r>
              <w:rPr>
                <w:sz w:val="19"/>
              </w:rPr>
              <w:t>Analisi dei gap organici/AEO ancora aperti; pianificazione del secondo blocco di keyword da presidiare; aggiornamento pacchetti sulla base del materiale raccolto in stagione</w:t>
            </w:r>
          </w:p>
        </w:tc>
        <w:tc>
          <w:tcPr>
            <w:tcW w:type="dxa" w:w="2160"/>
          </w:tcPr>
          <w:p>
            <w:r>
              <w:rPr>
                <w:sz w:val="19"/>
              </w:rPr>
              <w:t>Agenzia + struttura</w:t>
            </w:r>
          </w:p>
        </w:tc>
      </w:tr>
    </w:tbl>
    <w:p>
      <w:pPr>
        <w:spacing w:after="160"/>
      </w:pPr>
    </w:p>
    <w:p>
      <w:pPr>
        <w:spacing w:before="160" w:after="40"/>
      </w:pPr>
      <w:r>
        <w:rPr>
          <w:b/>
          <w:color w:val="2F5D62"/>
          <w:sz w:val="24"/>
        </w:rPr>
        <w:t>Azioni</w:t>
      </w:r>
    </w:p>
    <w:p>
      <w:r>
        <w:t>La struttura chiude tra ottobre/novembre e riapre in primavera (finestra da confermare col cliente): questo significa che ogni intervento sul sito e sui contenuti deve essere pianificato e concluso prima della riapertura, non durante l'estate, quando lo staff è impegnato in sala e in spiaggia e un cantiere aperto rischia di restare a metà o di interferire con l'ospite. Da qui l'azione prioritaria: bloccare nel calendario invernale gli interventi già individuati in sez. 03 (schema dati, pagine family/sport, FAQPage) con una scadenza precisa, non generica, così che a inizio stagione il sito sia già pronto a intercettare la domanda che nel frattempo si è mossa online.</w:t>
      </w:r>
    </w:p>
    <w:p>
      <w:r>
        <w:t>I mercati esteri, in particolare quello tedesco, scelgono la destinazione con largo anticipo rispetto all'italiano: se la comunicazione di riapertura e i pacchetti family arrivano solo a ridosso dell'estate, il Commodore si presenta quando la decisione è già presa altrove. L'azione conseguente è anticipare l'invio della newsletter di riapertura e delle offerte early booking ai canali diretti e ai ripetenti nel cuore dell'inverno, prima che si apra la finestra di prenotazione dei mercati a lead time lungo, lasciando alla tarda primavera solo il presidio della domanda italiana e della coda last-minute.</w:t>
      </w:r>
    </w:p>
    <w:p>
      <w:r>
        <w:t>La struttura comunica sul sito un posizionamento anche sportivo e business (pagine /sport e /business), ma la stagionalità della struttura colloca l'apertura fuori dal grosso del calendario fieristico e congressuale, che si concentra nei mesi in cui il Commodore è chiuso. L'azione qui non è investire su un canale strutturalmente fuori fase, ma limitare il presidio business/sportivo alle eventuali fiere o eventi sportivi che ricadono nella finestra di apertura, verificandone il calendario con il cliente, e destinare il resto delle risorse a famiglia e coppia, i segmenti realmente numerosi.</w:t>
      </w:r>
    </w:p>
    <w:p>
      <w:r>
        <w:t>La raccolta di contenuti autentici (foto, video, recensioni con linguaggio family) può avvenire solo a struttura aperta: l'azione è quindi programmare già ora, per l'apertura, un piano leggero di raccolta materiale (foto Sky Restaurant, momenti baby club, testimonianze in loco) da usare poi come base del cantiere contenutistico della chiusura successiva, evitando di ripartire ogni anno da zero.</w:t>
      </w:r>
    </w:p>
    <w:p>
      <w:pPr>
        <w:spacing w:before="160" w:after="40"/>
      </w:pPr>
      <w:r>
        <w:rPr>
          <w:b/>
          <w:color w:val="2F5D62"/>
          <w:sz w:val="24"/>
        </w:rPr>
        <w:t>KPI</w:t>
      </w:r>
    </w:p>
    <w:p>
      <w:pPr>
        <w:pStyle w:val="ListBullet"/>
      </w:pPr>
      <w:r>
        <w:t>I KPI numerici di controllo della roadmap sono consolidati in sez. 06 (Misurazione): qui si richiama solo la sequenza temporale delle milestone.</w:t>
      </w:r>
    </w:p>
    <w:p>
      <w:pPr>
        <w:spacing w:before="160" w:after="40"/>
      </w:pPr>
      <w:r>
        <w:rPr>
          <w:b/>
          <w:color w:val="2F5D62"/>
          <w:sz w:val="24"/>
        </w:rPr>
        <w:t>Note esecutive</w:t>
      </w:r>
    </w:p>
    <w:p>
      <w:pPr>
        <w:pStyle w:val="ListBullet"/>
      </w:pPr>
      <w:r>
        <w:t>I mesi di apertura/chiusura usati in questa roadmap sono un'ipotesi di lavoro (stagione balneare classica) da confermare col cliente: senza la data reale di apertura, le scadenze del cantiere invernale restano indicative — v. sez. 08</w:t>
      </w:r>
    </w:p>
    <w:p>
      <w:pPr>
        <w:pStyle w:val="ListBullet"/>
      </w:pPr>
      <w:r>
        <w:t>Il calendario fieristico/eventi rilevante per l'eventuale presidio business/sportivo va acquisito dal cliente o dagli enti locali: non è nei dati disponibili — v. sez. 08</w:t>
      </w:r>
    </w:p>
    <w:p>
      <w:pPr>
        <w:pStyle w:val="ListBullet"/>
      </w:pPr>
      <w:r>
        <w:t>La sequenza rispetta il principio guida: cantiere tecnico solo nei mesi di chiusura, mai in stagione piena; raccolta contenuti solo a struttura aperta; vendite anticipate scaglionate secondo il lead time di ciascun mercato</w:t>
      </w:r>
    </w:p>
    <w:p>
      <w:r>
        <w:br w:type="page"/>
      </w:r>
    </w:p>
    <w:p>
      <w:pPr>
        <w:spacing w:after="0"/>
      </w:pPr>
      <w:r>
        <w:rPr>
          <w:b/>
          <w:color w:val="2F5D62"/>
          <w:sz w:val="18"/>
        </w:rPr>
        <w:t>SEZIONE 06</w:t>
      </w:r>
    </w:p>
    <w:p>
      <w:pPr>
        <w:spacing w:after="200"/>
        <w:pBdr>
          <w:bottom w:val="single" w:sz="18" w:space="6" w:color="2F5D62"/>
        </w:pBdr>
      </w:pPr>
      <w:r>
        <w:rPr>
          <w:b/>
          <w:color w:val="1A1A2E"/>
          <w:sz w:val="40"/>
        </w:rPr>
        <w:t>Misurazione &amp; governance</w:t>
      </w:r>
    </w:p>
    <w:p>
      <w:pPr>
        <w:spacing w:before="160" w:after="40"/>
      </w:pPr>
      <w:r>
        <w:rPr>
          <w:b/>
          <w:color w:val="2F5D62"/>
          <w:sz w:val="24"/>
        </w:rPr>
        <w:t>KPI nord (baseline → target o obiettivo di processo)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w:t>
            </w:r>
          </w:p>
        </w:tc>
        <w:tc>
          <w:tcPr>
            <w:tcW w:type="dxa" w:w="2160"/>
            <w:shd w:val="clear" w:color="auto" w:fill="2F5D62"/>
          </w:tcPr>
          <w:p>
            <w:r>
              <w:rPr>
                <w:b/>
                <w:color w:val="FFFFFF"/>
                <w:sz w:val="19"/>
              </w:rPr>
              <w:t>Obiettivo di processo</w:t>
            </w:r>
          </w:p>
        </w:tc>
      </w:tr>
      <w:tr>
        <w:tc>
          <w:tcPr>
            <w:tcW w:type="dxa" w:w="2160"/>
          </w:tcPr>
          <w:p>
            <w:r>
              <w:rPr>
                <w:sz w:val="19"/>
              </w:rPr>
              <w:t>Volume recensioni (tutte le piattaforme)</w:t>
            </w:r>
          </w:p>
        </w:tc>
        <w:tc>
          <w:tcPr>
            <w:tcW w:type="dxa" w:w="2160"/>
          </w:tcPr>
          <w:p>
            <w:r>
              <w:rPr>
                <w:sz w:val="19"/>
              </w:rPr>
              <w:t>2399</w:t>
            </w:r>
          </w:p>
        </w:tc>
        <w:tc>
          <w:tcPr>
            <w:tcW w:type="dxa" w:w="2160"/>
          </w:tcPr>
          <w:p>
            <w:r>
              <w:rPr>
                <w:sz w:val="19"/>
              </w:rPr>
              <w:t>2560</w:t>
            </w:r>
          </w:p>
        </w:tc>
        <w:tc>
          <w:tcPr>
            <w:tcW w:type="dxa" w:w="2160"/>
          </w:tcPr>
          <w:p>
            <w:r>
              <w:rPr>
                <w:sz w:val="19"/>
              </w:rPr>
              <w:t>—</w:t>
            </w:r>
          </w:p>
        </w:tc>
      </w:tr>
      <w:tr>
        <w:tc>
          <w:tcPr>
            <w:tcW w:type="dxa" w:w="2160"/>
            <w:shd w:val="clear" w:color="auto" w:fill="EEF2F1"/>
          </w:tcPr>
          <w:p>
            <w:r>
              <w:rPr>
                <w:sz w:val="19"/>
              </w:rPr>
              <w:t>Quota di prenotazione diretta</w:t>
            </w:r>
          </w:p>
        </w:tc>
        <w:tc>
          <w:tcPr>
            <w:tcW w:type="dxa" w:w="2160"/>
            <w:shd w:val="clear" w:color="auto" w:fill="EEF2F1"/>
          </w:tcPr>
          <w:p>
            <w:r>
              <w:rPr>
                <w:sz w:val="19"/>
              </w:rPr>
              <w:t>—</w:t>
            </w:r>
          </w:p>
        </w:tc>
        <w:tc>
          <w:tcPr>
            <w:tcW w:type="dxa" w:w="2160"/>
            <w:shd w:val="clear" w:color="auto" w:fill="EEF2F1"/>
          </w:tcPr>
          <w:p>
            <w:r>
              <w:rPr>
                <w:sz w:val="19"/>
              </w:rPr>
              <w:t>—</w:t>
            </w:r>
          </w:p>
        </w:tc>
        <w:tc>
          <w:tcPr>
            <w:tcW w:type="dxa" w:w="2160"/>
            <w:shd w:val="clear" w:color="auto" w:fill="EEF2F1"/>
          </w:tcPr>
          <w:p>
            <w:r>
              <w:rPr>
                <w:sz w:val="19"/>
              </w:rPr>
              <w:t>Quota diretta reale non tracciata nella diagnosi: misurare la baseline (booking engine/PMS) prima di fissare un obiettivo numerico.</w:t>
            </w:r>
          </w:p>
        </w:tc>
      </w:tr>
      <w:tr>
        <w:tc>
          <w:tcPr>
            <w:tcW w:type="dxa" w:w="2160"/>
          </w:tcPr>
          <w:p>
            <w:r>
              <w:rPr>
                <w:sz w:val="19"/>
              </w:rPr>
              <w:t>Rating aggregato</w:t>
            </w:r>
          </w:p>
        </w:tc>
        <w:tc>
          <w:tcPr>
            <w:tcW w:type="dxa" w:w="2160"/>
          </w:tcPr>
          <w:p>
            <w:r>
              <w:rPr>
                <w:sz w:val="19"/>
              </w:rPr>
              <w:t>4.47</w:t>
            </w:r>
          </w:p>
        </w:tc>
        <w:tc>
          <w:tcPr>
            <w:tcW w:type="dxa" w:w="2160"/>
          </w:tcPr>
          <w:p>
            <w:r>
              <w:rPr>
                <w:sz w:val="19"/>
              </w:rPr>
              <w:t>—</w:t>
            </w:r>
          </w:p>
        </w:tc>
        <w:tc>
          <w:tcPr>
            <w:tcW w:type="dxa" w:w="2160"/>
          </w:tcPr>
          <w:p>
            <w:r>
              <w:rPr>
                <w:sz w:val="19"/>
              </w:rPr>
              <w:t>KPI di score lento (media cumulata su centinaia di recensioni): non calare sotto la baseline, orizzonti lunghi, nessun salto in 2-3 mesi.</w:t>
            </w:r>
          </w:p>
        </w:tc>
      </w:tr>
    </w:tbl>
    <w:p>
      <w:pPr>
        <w:spacing w:after="160"/>
      </w:pPr>
    </w:p>
    <w:p>
      <w:r>
        <w:t>Il piano diventa governabile solo se ogni azione descritta nelle sezioni precedenti converge su un cruscotto unico, verificato con cadenza fissa e collegato a decisioni operative (proseguire, correggere, fermare). Questa sezione non introduce nuove azioni: fissa come e quando si misura ciò che è già stato messo in moto — presidio organico e AEO, canale diretto/OTA, CRM sui ripetenti, cantiere stagionale — e distingue esplicitamente i KPI del piano dalle metriche tariffarie e di rendimento, che restano di competenza della struttura.</w:t>
      </w:r>
    </w:p>
    <w:p>
      <w:pPr>
        <w:spacing w:before="160" w:after="40"/>
      </w:pPr>
      <w:r>
        <w:rPr>
          <w:b/>
          <w:color w:val="2F5D62"/>
          <w:sz w:val="24"/>
        </w:rPr>
        <w:t>Obiettivi misurabili</w:t>
      </w:r>
    </w:p>
    <w:p>
      <w:pPr>
        <w:pStyle w:val="ListBullet"/>
      </w:pPr>
      <w:r>
        <w:t>Portare la keyword già presidiata a una posizione più solida rispetto all'attuale (baseline: posizione 5 su «hotel fronte mare riccione», 480/mese) entro la chiusura del prossimo cantiere invernale</w:t>
      </w:r>
    </w:p>
    <w:p>
      <w:pPr>
        <w:pStyle w:val="ListBullet"/>
      </w:pPr>
      <w:r>
        <w:t>Ampliare il numero di query in gap effettivamente presidiate in modo competitivo, partendo dalla baseline di 1 keyword su 31 pertinenti (obiettivo di processo se non si dispone ancora di uno storico di avanzamento posizioni)</w:t>
      </w:r>
    </w:p>
    <w:p>
      <w:pPr>
        <w:pStyle w:val="ListBullet"/>
      </w:pPr>
      <w:r>
        <w:t>Attivare il tracciamento della quota diretto/OTA per canale (obiettivo di processo: baseline non disponibile, v. box 08)</w:t>
      </w:r>
    </w:p>
    <w:p>
      <w:pPr>
        <w:pStyle w:val="ListBullet"/>
      </w:pPr>
      <w:r>
        <w:t>Misurare la presenza del Commodore nelle risposte degli assistenti AI sulle query famiglia/coppia, partendo dalla baseline di assenza rilevata su OpenAI (obiettivo di processo: estendere l'audit a Gemini e Perplexity)</w:t>
      </w:r>
    </w:p>
    <w:p>
      <w:pPr>
        <w:pStyle w:val="ListBullet"/>
      </w:pPr>
      <w:r>
        <w:t>Far crescere il numero di recensioni TripAdvisor oltre la baseline attuale di 1174, su un orizzonte da concordare (obiettivo di processo: la baseline di score è un cumulato lento, v. sez. 08)</w:t>
      </w:r>
    </w:p>
    <w:p>
      <w:pPr>
        <w:spacing w:before="160" w:after="40"/>
      </w:pPr>
      <w:r>
        <w:rPr>
          <w:b/>
          <w:color w:val="2F5D62"/>
          <w:sz w:val="24"/>
        </w:rPr>
        <w:t>Azioni</w:t>
      </w:r>
    </w:p>
    <w:p>
      <w:pPr>
        <w:pStyle w:val="ListBullet"/>
      </w:pPr>
      <w:r>
        <w:t>Il gap organico misurato in sede diagnostica (1 keyword presidiata su 31) è un dato puntuale, non un trend: senza una rilevazione periodica non si può distinguere un miglioramento reale da un'oscillazione naturale della SERP. Va quindi impostato un controllo mensile delle posizioni sul set di keyword del ledger canonico (§5bis), con lo stesso perimetro di query usato in diagnosi, per rendere ogni variazione confrontabile e attribuibile alle azioni di sezione 03.</w:t>
      </w:r>
    </w:p>
    <w:p>
      <w:pPr>
        <w:pStyle w:val="ListBullet"/>
      </w:pPr>
      <w:r>
        <w:t>L'audit sugli assistenti AI copre oggi solo OpenAI, con esito di assenza su famiglia e coppia; Gemini e Perplexity restano un'area cieca per un errore tecnico, non per un dato negativo confermato. Prima di dichiarare un miglioramento su questo fronte occorre completare l'audit sui tre assistenti con le stesse query, ripetendolo con cadenza periodica per verificare se gli interventi su dati strutturati e contenuti citabili spostano davvero la visibilità.</w:t>
      </w:r>
    </w:p>
    <w:p>
      <w:pPr>
        <w:pStyle w:val="ListBullet"/>
      </w:pPr>
      <w:r>
        <w:t>Nessun dato di partenza esiste oggi su quota diretta, CAC per canale o comportamento del booking engine: prima di fissare un target su queste dimensioni serve costruire la baseline stessa, cioè attivare il tracciamento (analytics booking engine, reportistica del canale diretto vs portali) come prerequisito, non come KPI immediato.</w:t>
      </w:r>
    </w:p>
    <w:p>
      <w:pPr>
        <w:pStyle w:val="ListBullet"/>
      </w:pPr>
      <w:r>
        <w:t>I punteggi medi di piattaforma (rating aggregato, punteggi per categoria) sono medie cumulate su centinaia di recensioni e si muovono per natura con lentezza: un'azione lanciata oggi non produce uno scarto leggibile nell'arco di una sola stagione. Il controllo va quindi impostato su un orizzonte pluriennale, con letture intermedie che guardano al volume e al contenuto delle nuove recensioni (presenza del lessico family, riferimenti a camere/parcheggio) più che al punteggio aggregato in sé.</w:t>
      </w:r>
    </w:p>
    <w:p>
      <w:pPr>
        <w:pStyle w:val="ListBullet"/>
      </w:pPr>
      <w:r>
        <w:t>Le metriche tariffarie e di rendimento non rientrano nel perimetro di questo cruscotto: restano di competenza della struttura e non vengono qui né stimate né monitorate.</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 obiettivo</w:t>
            </w:r>
          </w:p>
        </w:tc>
        <w:tc>
          <w:tcPr>
            <w:tcW w:type="dxa" w:w="2160"/>
            <w:shd w:val="clear" w:color="auto" w:fill="2F5D62"/>
          </w:tcPr>
          <w:p>
            <w:r>
              <w:rPr>
                <w:b/>
                <w:color w:val="FFFFFF"/>
                <w:sz w:val="19"/>
              </w:rPr>
              <w:t>Cadenza di rilevazione</w:t>
            </w:r>
          </w:p>
        </w:tc>
      </w:tr>
      <w:tr>
        <w:tc>
          <w:tcPr>
            <w:tcW w:type="dxa" w:w="2160"/>
          </w:tcPr>
          <w:p>
            <w:r>
              <w:rPr>
                <w:sz w:val="19"/>
              </w:rPr>
              <w:t>Posizione keyword «hotel fronte mare riccione» (480/mese)</w:t>
            </w:r>
          </w:p>
        </w:tc>
        <w:tc>
          <w:tcPr>
            <w:tcW w:type="dxa" w:w="2160"/>
          </w:tcPr>
          <w:p>
            <w:r>
              <w:rPr>
                <w:sz w:val="19"/>
              </w:rPr>
              <w:t>Posizione 5</w:t>
            </w:r>
          </w:p>
        </w:tc>
        <w:tc>
          <w:tcPr>
            <w:tcW w:type="dxa" w:w="2160"/>
          </w:tcPr>
          <w:p>
            <w:r>
              <w:rPr>
                <w:sz w:val="19"/>
              </w:rPr>
              <w:t>Consolidamento in posizione più solida entro chiusura cantiere invernale</w:t>
            </w:r>
          </w:p>
        </w:tc>
        <w:tc>
          <w:tcPr>
            <w:tcW w:type="dxa" w:w="2160"/>
          </w:tcPr>
          <w:p>
            <w:r>
              <w:rPr>
                <w:sz w:val="19"/>
              </w:rPr>
              <w:t>Mensile</w:t>
            </w:r>
          </w:p>
        </w:tc>
      </w:tr>
      <w:tr>
        <w:tc>
          <w:tcPr>
            <w:tcW w:type="dxa" w:w="2160"/>
            <w:shd w:val="clear" w:color="auto" w:fill="EEF2F1"/>
          </w:tcPr>
          <w:p>
            <w:r>
              <w:rPr>
                <w:sz w:val="19"/>
              </w:rPr>
              <w:t>Keyword in gap effettivamente presidiate (su 31 pertinenti)</w:t>
            </w:r>
          </w:p>
        </w:tc>
        <w:tc>
          <w:tcPr>
            <w:tcW w:type="dxa" w:w="2160"/>
            <w:shd w:val="clear" w:color="auto" w:fill="EEF2F1"/>
          </w:tcPr>
          <w:p>
            <w:r>
              <w:rPr>
                <w:sz w:val="19"/>
              </w:rPr>
              <w:t>1/31</w:t>
            </w:r>
          </w:p>
        </w:tc>
        <w:tc>
          <w:tcPr>
            <w:tcW w:type="dxa" w:w="2160"/>
            <w:shd w:val="clear" w:color="auto" w:fill="EEF2F1"/>
          </w:tcPr>
          <w:p>
            <w:r>
              <w:rPr>
                <w:sz w:val="19"/>
              </w:rPr>
              <w:t>Obiettivo di processo: crescita progressiva, priorità alle query family e generiche di destinazione</w:t>
            </w:r>
          </w:p>
        </w:tc>
        <w:tc>
          <w:tcPr>
            <w:tcW w:type="dxa" w:w="2160"/>
            <w:shd w:val="clear" w:color="auto" w:fill="EEF2F1"/>
          </w:tcPr>
          <w:p>
            <w:r>
              <w:rPr>
                <w:sz w:val="19"/>
              </w:rPr>
              <w:t>Mensile</w:t>
            </w:r>
          </w:p>
        </w:tc>
      </w:tr>
      <w:tr>
        <w:tc>
          <w:tcPr>
            <w:tcW w:type="dxa" w:w="2160"/>
          </w:tcPr>
          <w:p>
            <w:r>
              <w:rPr>
                <w:sz w:val="19"/>
              </w:rPr>
              <w:t>Presenza in risposta assistenti AI (famiglia/coppia)</w:t>
            </w:r>
          </w:p>
        </w:tc>
        <w:tc>
          <w:tcPr>
            <w:tcW w:type="dxa" w:w="2160"/>
          </w:tcPr>
          <w:p>
            <w:r>
              <w:rPr>
                <w:sz w:val="19"/>
              </w:rPr>
              <w:t>Assente su OpenAI; Gemini/Perplexity non misurati</w:t>
            </w:r>
          </w:p>
        </w:tc>
        <w:tc>
          <w:tcPr>
            <w:tcW w:type="dxa" w:w="2160"/>
          </w:tcPr>
          <w:p>
            <w:r>
              <w:rPr>
                <w:sz w:val="19"/>
              </w:rPr>
              <w:t>Obiettivo di processo: audit completo sui tre assistenti + prima rilevazione di presenza</w:t>
            </w:r>
          </w:p>
        </w:tc>
        <w:tc>
          <w:tcPr>
            <w:tcW w:type="dxa" w:w="2160"/>
          </w:tcPr>
          <w:p>
            <w:r>
              <w:rPr>
                <w:sz w:val="19"/>
              </w:rPr>
              <w:t>Trimestrale</w:t>
            </w:r>
          </w:p>
        </w:tc>
      </w:tr>
      <w:tr>
        <w:tc>
          <w:tcPr>
            <w:tcW w:type="dxa" w:w="2160"/>
            <w:shd w:val="clear" w:color="auto" w:fill="EEF2F1"/>
          </w:tcPr>
          <w:p>
            <w:r>
              <w:rPr>
                <w:sz w:val="19"/>
              </w:rPr>
              <w:t>Quota diretto/OTA per canale</w:t>
            </w:r>
          </w:p>
        </w:tc>
        <w:tc>
          <w:tcPr>
            <w:tcW w:type="dxa" w:w="2160"/>
            <w:shd w:val="clear" w:color="auto" w:fill="EEF2F1"/>
          </w:tcPr>
          <w:p>
            <w:r>
              <w:rPr>
                <w:sz w:val="19"/>
              </w:rPr>
              <w:t>Non disponibile</w:t>
            </w:r>
          </w:p>
        </w:tc>
        <w:tc>
          <w:tcPr>
            <w:tcW w:type="dxa" w:w="2160"/>
            <w:shd w:val="clear" w:color="auto" w:fill="EEF2F1"/>
          </w:tcPr>
          <w:p>
            <w:r>
              <w:rPr>
                <w:sz w:val="19"/>
              </w:rPr>
              <w:t>Obiettivo di processo: attivazione del tracciamento</w:t>
            </w:r>
          </w:p>
        </w:tc>
        <w:tc>
          <w:tcPr>
            <w:tcW w:type="dxa" w:w="2160"/>
            <w:shd w:val="clear" w:color="auto" w:fill="EEF2F1"/>
          </w:tcPr>
          <w:p>
            <w:r>
              <w:rPr>
                <w:sz w:val="19"/>
              </w:rPr>
              <w:t>Da impostare, poi mensile</w:t>
            </w:r>
          </w:p>
        </w:tc>
      </w:tr>
      <w:tr>
        <w:tc>
          <w:tcPr>
            <w:tcW w:type="dxa" w:w="2160"/>
          </w:tcPr>
          <w:p>
            <w:r>
              <w:rPr>
                <w:sz w:val="19"/>
              </w:rPr>
              <w:t>Recensioni TripAdvisor (volume)</w:t>
            </w:r>
          </w:p>
        </w:tc>
        <w:tc>
          <w:tcPr>
            <w:tcW w:type="dxa" w:w="2160"/>
          </w:tcPr>
          <w:p>
            <w:r>
              <w:rPr>
                <w:sz w:val="19"/>
              </w:rPr>
              <w:t>1174</w:t>
            </w:r>
          </w:p>
        </w:tc>
        <w:tc>
          <w:tcPr>
            <w:tcW w:type="dxa" w:w="2160"/>
          </w:tcPr>
          <w:p>
            <w:r>
              <w:rPr>
                <w:sz w:val="19"/>
              </w:rPr>
              <w:t>Obiettivo di processo: crescita su orizzonte da concordare col cliente</w:t>
            </w:r>
          </w:p>
        </w:tc>
        <w:tc>
          <w:tcPr>
            <w:tcW w:type="dxa" w:w="2160"/>
          </w:tcPr>
          <w:p>
            <w:r>
              <w:rPr>
                <w:sz w:val="19"/>
              </w:rPr>
              <w:t>Trimestrale</w:t>
            </w:r>
          </w:p>
        </w:tc>
      </w:tr>
      <w:tr>
        <w:tc>
          <w:tcPr>
            <w:tcW w:type="dxa" w:w="2160"/>
            <w:shd w:val="clear" w:color="auto" w:fill="EEF2F1"/>
          </w:tcPr>
          <w:p>
            <w:r>
              <w:rPr>
                <w:sz w:val="19"/>
              </w:rPr>
              <w:t>Recensioni con menzione parcheggio/camere (criticità confermate)</w:t>
            </w:r>
          </w:p>
        </w:tc>
        <w:tc>
          <w:tcPr>
            <w:tcW w:type="dxa" w:w="2160"/>
            <w:shd w:val="clear" w:color="auto" w:fill="EEF2F1"/>
          </w:tcPr>
          <w:p>
            <w:r>
              <w:rPr>
                <w:sz w:val="19"/>
              </w:rPr>
              <w:t>7 e 15 menzioni su 201 recensioni analizzate</w:t>
            </w:r>
          </w:p>
        </w:tc>
        <w:tc>
          <w:tcPr>
            <w:tcW w:type="dxa" w:w="2160"/>
            <w:shd w:val="clear" w:color="auto" w:fill="EEF2F1"/>
          </w:tcPr>
          <w:p>
            <w:r>
              <w:rPr>
                <w:sz w:val="19"/>
              </w:rPr>
              <w:t>Obiettivo di processo: riduzione delle nuove segnalazioni a parità di volume recensioni</w:t>
            </w:r>
          </w:p>
        </w:tc>
        <w:tc>
          <w:tcPr>
            <w:tcW w:type="dxa" w:w="2160"/>
            <w:shd w:val="clear" w:color="auto" w:fill="EEF2F1"/>
          </w:tcPr>
          <w:p>
            <w:r>
              <w:rPr>
                <w:sz w:val="19"/>
              </w:rPr>
              <w:t>Trimestrale</w:t>
            </w:r>
          </w:p>
        </w:tc>
      </w:tr>
    </w:tbl>
    <w:p>
      <w:pPr>
        <w:spacing w:after="160"/>
      </w:pPr>
    </w:p>
    <w:p>
      <w:pPr>
        <w:spacing w:before="160" w:after="40"/>
      </w:pPr>
      <w:r>
        <w:rPr>
          <w:b/>
          <w:color w:val="2F5D62"/>
          <w:sz w:val="24"/>
        </w:rPr>
        <w:t>Note esecutive</w:t>
      </w:r>
    </w:p>
    <w:p>
      <w:pPr>
        <w:pStyle w:val="ListBullet"/>
      </w:pPr>
      <w:r>
        <w:t>Ogni KPI di questa tabella richiede una responsabilità di lettura assegnata (chi legge il dato e con quale strumento) prima ancora del primo ciclo di rilevazione: senza questo passaggio la cadenza indicata resta teorica.</w:t>
      </w:r>
    </w:p>
    <w:p>
      <w:pPr>
        <w:pStyle w:val="ListBullet"/>
      </w:pPr>
      <w:r>
        <w:t>I benchmark di settore su costo di acquisizione diretto/OTA e ROAS (v. scheda numeri) restano riferimenti per validare l'ordine di grandezza delle azioni di canale, non target da riportare in un report di cliente come propri.</w:t>
      </w:r>
    </w:p>
    <w:p>
      <w:pPr>
        <w:pStyle w:val="ListBullet"/>
      </w:pPr>
      <w:r>
        <w:t>Quando una baseline non è disponibile, la cadenza indicata nella tabella si riferisce al primo momento utile per costituirla, non a un target già fissato: la sezione 08 elenca gli input mancanti da raccogliere per trasformare ogni obiettivo di processo in un target numerico.</w:t>
      </w:r>
    </w:p>
    <w:p>
      <w:r>
        <w:br w:type="page"/>
      </w:r>
    </w:p>
    <w:p>
      <w:pPr>
        <w:spacing w:after="0"/>
      </w:pPr>
      <w:r>
        <w:rPr>
          <w:b/>
          <w:color w:val="2F5D62"/>
          <w:sz w:val="18"/>
        </w:rPr>
        <w:t>SEZIONE 07</w:t>
      </w:r>
    </w:p>
    <w:p>
      <w:pPr>
        <w:spacing w:after="200"/>
        <w:pBdr>
          <w:bottom w:val="single" w:sz="18" w:space="6" w:color="2F5D62"/>
        </w:pBdr>
      </w:pPr>
      <w:r>
        <w:rPr>
          <w:b/>
          <w:color w:val="1A1A2E"/>
          <w:sz w:val="40"/>
        </w:rPr>
        <w:t>Budget (ripartizione %)</w:t>
      </w:r>
    </w:p>
    <w:p>
      <w:pPr>
        <w:spacing w:before="160" w:after="40"/>
      </w:pPr>
      <w:r>
        <w:rPr>
          <w:b/>
          <w:color w:val="2F5D62"/>
          <w:sz w:val="24"/>
        </w:rPr>
        <w:t>Ripartizione del budget (%, decision record)</w:t>
      </w:r>
    </w:p>
    <w:p>
      <w:r>
        <w:t>Budget marketing indicativo: 3-4% del ricavo (stadio: maturità). Ripartizione % per canale; gli importi in euro sono nell'allegato economico a cura dell'agenzia.</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Canale</w:t>
            </w:r>
          </w:p>
        </w:tc>
        <w:tc>
          <w:tcPr>
            <w:tcW w:type="dxa" w:w="2880"/>
            <w:shd w:val="clear" w:color="auto" w:fill="2F5D62"/>
          </w:tcPr>
          <w:p>
            <w:r>
              <w:rPr>
                <w:b/>
                <w:color w:val="FFFFFF"/>
                <w:sz w:val="19"/>
              </w:rPr>
              <w:t>Ripartizione %</w:t>
            </w:r>
          </w:p>
        </w:tc>
        <w:tc>
          <w:tcPr>
            <w:tcW w:type="dxa" w:w="2880"/>
            <w:shd w:val="clear" w:color="auto" w:fill="2F5D62"/>
          </w:tcPr>
          <w:p>
            <w:r>
              <w:rPr>
                <w:b/>
                <w:color w:val="FFFFFF"/>
                <w:sz w:val="19"/>
              </w:rPr>
              <w:t>Verdetto</w:t>
            </w:r>
          </w:p>
        </w:tc>
      </w:tr>
      <w:tr>
        <w:tc>
          <w:tcPr>
            <w:tcW w:type="dxa" w:w="2880"/>
          </w:tcPr>
          <w:p>
            <w:r>
              <w:rPr>
                <w:sz w:val="19"/>
              </w:rPr>
              <w:t>SEO organico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Search advertising (Google Ads)</w:t>
            </w:r>
          </w:p>
        </w:tc>
        <w:tc>
          <w:tcPr>
            <w:tcW w:type="dxa" w:w="2880"/>
            <w:shd w:val="clear" w:color="auto" w:fill="EEF2F1"/>
          </w:tcPr>
          <w:p>
            <w:r>
              <w:rPr>
                <w:sz w:val="19"/>
              </w:rPr>
              <w:t>30-40%</w:t>
            </w:r>
          </w:p>
        </w:tc>
        <w:tc>
          <w:tcPr>
            <w:tcW w:type="dxa" w:w="2880"/>
            <w:shd w:val="clear" w:color="auto" w:fill="EEF2F1"/>
          </w:tcPr>
          <w:p>
            <w:r>
              <w:rPr>
                <w:sz w:val="19"/>
              </w:rPr>
              <w:t>Attivare (stagionale)</w:t>
            </w:r>
          </w:p>
        </w:tc>
      </w:tr>
      <w:tr>
        <w:tc>
          <w:tcPr>
            <w:tcW w:type="dxa" w:w="2880"/>
          </w:tcPr>
          <w:p>
            <w:r>
              <w:rPr>
                <w:sz w:val="19"/>
              </w:rPr>
              <w:t>Sito &amp; booking diretto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Social organico</w:t>
            </w:r>
          </w:p>
        </w:tc>
        <w:tc>
          <w:tcPr>
            <w:tcW w:type="dxa" w:w="2880"/>
            <w:shd w:val="clear" w:color="auto" w:fill="EEF2F1"/>
          </w:tcPr>
          <w:p>
            <w:r>
              <w:rPr>
                <w:sz w:val="19"/>
              </w:rPr>
              <w:t>15-25%</w:t>
            </w:r>
          </w:p>
        </w:tc>
        <w:tc>
          <w:tcPr>
            <w:tcW w:type="dxa" w:w="2880"/>
            <w:shd w:val="clear" w:color="auto" w:fill="EEF2F1"/>
          </w:tcPr>
          <w:p>
            <w:r>
              <w:rPr>
                <w:sz w:val="19"/>
              </w:rPr>
              <w:t>Rafforzare</w:t>
            </w:r>
          </w:p>
        </w:tc>
      </w:tr>
      <w:tr>
        <w:tc>
          <w:tcPr>
            <w:tcW w:type="dxa" w:w="2880"/>
          </w:tcPr>
          <w:p>
            <w:r>
              <w:rPr>
                <w:sz w:val="19"/>
              </w:rPr>
              <w:t>Segmento business / MICE</w:t>
            </w:r>
          </w:p>
        </w:tc>
        <w:tc>
          <w:tcPr>
            <w:tcW w:type="dxa" w:w="2880"/>
          </w:tcPr>
          <w:p>
            <w:r>
              <w:rPr>
                <w:sz w:val="19"/>
              </w:rPr>
              <w:t>5-10%</w:t>
            </w:r>
          </w:p>
        </w:tc>
        <w:tc>
          <w:tcPr>
            <w:tcW w:type="dxa" w:w="2880"/>
          </w:tcPr>
          <w:p>
            <w:r>
              <w:rPr>
                <w:sz w:val="19"/>
              </w:rPr>
              <w:t>Attivare</w:t>
            </w:r>
          </w:p>
        </w:tc>
      </w:tr>
      <w:tr>
        <w:tc>
          <w:tcPr>
            <w:tcW w:type="dxa" w:w="2880"/>
            <w:shd w:val="clear" w:color="auto" w:fill="EEF2F1"/>
          </w:tcPr>
          <w:p>
            <w:r>
              <w:rPr>
                <w:sz w:val="19"/>
              </w:rPr>
              <w:t>Local &amp; Google Business Profile</w:t>
            </w:r>
          </w:p>
        </w:tc>
        <w:tc>
          <w:tcPr>
            <w:tcW w:type="dxa" w:w="2880"/>
            <w:shd w:val="clear" w:color="auto" w:fill="EEF2F1"/>
          </w:tcPr>
          <w:p>
            <w:r>
              <w:rPr>
                <w:sz w:val="19"/>
              </w:rPr>
              <w:t>15-25%</w:t>
            </w:r>
          </w:p>
        </w:tc>
        <w:tc>
          <w:tcPr>
            <w:tcW w:type="dxa" w:w="2880"/>
            <w:shd w:val="clear" w:color="auto" w:fill="EEF2F1"/>
          </w:tcPr>
          <w:p>
            <w:r>
              <w:rPr>
                <w:sz w:val="19"/>
              </w:rPr>
              <w:t>Attivare</w:t>
            </w:r>
          </w:p>
        </w:tc>
      </w:tr>
    </w:tbl>
    <w:p>
      <w:pPr>
        <w:spacing w:after="160"/>
      </w:pPr>
    </w:p>
    <w:p>
      <w:r>
        <w:t>Riferimenti di settore (agency/vendor, da validare sui dati reali del cliente — la ripartizione operativa resta quella della tabella qui sopra): search e metasearch dal 30% al 40%; social e video dal 15% al 25%; SEO, contenuti e presenza locale dal 15% al 25%; email e CRM dal 10% al 15%; display e retargeting dal 5% al 10%; riallocazione trimestrale dal 10% al 20% in base ai risultati per canale.</w:t>
      </w:r>
    </w:p>
    <w:p>
      <w:r>
        <w:t>La ripartizione fissa la cornice entro cui si muovono le azioni già definite nelle sezioni precedenti: non è un piano di spesa a sé, ma il modo in cui il cantiere organico, la comunicazione di riapertura e il presidio sui mercati esteri trovano copertura economica coerente con l'archetipo stagionale del Commodore. La lettura operativa è che il grosso dell'investimento va sbilanciato sulle voci a più alto ritorno strutturale — search/metasearch e SEO/local — prima ancora di spingere su canali di visibilità generica, perché il gap di presidio organico è la priorità con l'evidenza più diretta (§ 03). Il vincolo stagionale impone inoltre di non trattare i cinque canali come una spesa costante lungo l'anno: la finestra invernale chiusa concentra SEO/content, mentre la finestra prossima all'apertura concentra CRM e search.</w:t>
      </w:r>
    </w:p>
    <w:p>
      <w:pPr>
        <w:spacing w:before="160" w:after="40"/>
      </w:pPr>
      <w:r>
        <w:rPr>
          <w:b/>
          <w:color w:val="2F5D62"/>
          <w:sz w:val="24"/>
        </w:rPr>
        <w:t>Obiettivi misurabili</w:t>
      </w:r>
    </w:p>
    <w:p>
      <w:pPr>
        <w:pStyle w:val="ListBullet"/>
      </w:pPr>
      <w:r>
        <w:t>Assegnare la quota search &amp; metasearch prioritariamente al blocco di keyword non presidiate a maggior volume (v. sez. 03), con avvio prima dell'apertura della finestra di prenotazione estera</w:t>
      </w:r>
    </w:p>
    <w:p>
      <w:pPr>
        <w:pStyle w:val="ListBullet"/>
      </w:pPr>
      <w:r>
        <w:t>Impegnare la quota SEO &amp; content &amp; local sul cantiere organico/AEO nella finestra di chiusura invernale, come da roadmap (v. sez. 05)</w:t>
      </w:r>
    </w:p>
    <w:p>
      <w:pPr>
        <w:pStyle w:val="ListBullet"/>
      </w:pPr>
      <w:r>
        <w:t>Attivare la quota email/CRM &amp; retention in corrispondenza della comunicazione di riapertura verso i ripetenti (v. sez. 05), non a stagione già iniziata</w:t>
      </w:r>
    </w:p>
    <w:p>
      <w:pPr>
        <w:pStyle w:val="ListBullet"/>
      </w:pPr>
      <w:r>
        <w:t>Impostare un processo di rendicontazione trimestrale che consenta la riallocazione tra le cinque voci in base alla resa per canale (obiettivo di processo: la baseline di CAC/ROAS per canale non è oggi disponibile, v. sez. 08)</w:t>
      </w:r>
    </w:p>
    <w:p>
      <w:pPr>
        <w:spacing w:before="160" w:after="40"/>
      </w:pPr>
      <w:r>
        <w:rPr>
          <w:b/>
          <w:color w:val="2F5D62"/>
          <w:sz w:val="24"/>
        </w:rPr>
        <w:t>Azioni</w:t>
      </w:r>
    </w:p>
    <w:p>
      <w:pPr>
        <w:pStyle w:val="ListBullet"/>
      </w:pPr>
      <w:r>
        <w:t>Il gap di presidio organico rilevato sulle query a maggior volume di destinazione (v. sez. 03) rende necessario che la quota SEO &amp; content &amp; local sia impegnata per prima, in apertura di cantiere invernale, prima di attivare le altre voci: intervenire più tardi vorrebbe dire arrivare al presidio quando la finestra di prenotazione dei mercati esteri è già aperta, perdendo l'anticipo che serve.</w:t>
      </w:r>
    </w:p>
    <w:p>
      <w:pPr>
        <w:pStyle w:val="ListBullet"/>
      </w:pPr>
      <w:r>
        <w:t>La quota search &amp; metasearch va sbilanciata sulla doppia finestra già individuata in roadmap (anticipo estero, ravvicinato italiano): impostare fin da ora la struttura di campagna su entrambe le finestre evita di scoprire, a stagione iniziata, che il budget non copre la fase in cui la domanda si decide.</w:t>
      </w:r>
    </w:p>
    <w:p>
      <w:pPr>
        <w:pStyle w:val="ListBullet"/>
      </w:pPr>
      <w:r>
        <w:t>La quota email/CRM, per quanto la più contenuta in valore assoluto, è la leva a costo di acquisizione più basso a disposizione sul parco ripetenti (v. sez. 04): va quindi attivata per prima tra le voci rivolte al cliente esistente, in coordinamento con la comunicazione di riapertura, e non trattata come coda di budget a fine programmazione.</w:t>
      </w:r>
    </w:p>
    <w:p>
      <w:pPr>
        <w:pStyle w:val="ListBullet"/>
      </w:pPr>
      <w:r>
        <w:t>La quota social &amp; video si appoggia sulla raccolta di materiale in stagione aperta (v. sez. 05): l'azione operativa immediata è pianificare la raccolta contenuti (foto, video, testimonianze) durante l'apertura corrente, da impiegare nell'attivazione social della finestra di riapertura successiva.</w:t>
      </w:r>
    </w:p>
    <w:p>
      <w:pPr>
        <w:pStyle w:val="ListBullet"/>
      </w:pPr>
      <w:r>
        <w:t>La quota display/retargeting &amp; sperimentazione resta la più piccola e va trattata come banco di prova: impiegarla per testare in piccolo prima di spostare peso da altre voci, secondo il criterio di riallocazione trimestrale già indicato in tabella.</w:t>
      </w:r>
    </w:p>
    <w:p>
      <w:pPr>
        <w:spacing w:before="160" w:after="40"/>
      </w:pPr>
      <w:r>
        <w:rPr>
          <w:b/>
          <w:color w:val="2F5D62"/>
          <w:sz w:val="24"/>
        </w:rPr>
        <w:t>KPI</w:t>
      </w:r>
    </w:p>
    <w:p>
      <w:r>
        <w:t>I KPI numerici di controllo sulla resa per canale sono raccolti in sez. 06; qui la ripartizione % è la base di allocazione contro cui quei KPI vengono letti in fase di rendicontazione trimestrale.</w:t>
      </w:r>
    </w:p>
    <w:p>
      <w:pPr>
        <w:spacing w:before="160" w:after="40"/>
      </w:pPr>
      <w:r>
        <w:rPr>
          <w:b/>
          <w:color w:val="2F5D62"/>
          <w:sz w:val="24"/>
        </w:rPr>
        <w:t>Note esecutive</w:t>
      </w:r>
    </w:p>
    <w:p>
      <w:pPr>
        <w:pStyle w:val="ListBullet"/>
      </w:pPr>
      <w:r>
        <w:t>La tabella esprime una ripartizione percentuale del budget marketing digitale; l'importo assoluto in valuta e la sua incidenza sul ricavo restano un allegato economico separato, di competenza dell'agenzia, e richiedono il ricavo reale della struttura (v. sez. 08).</w:t>
      </w:r>
    </w:p>
    <w:p>
      <w:pPr>
        <w:pStyle w:val="ListBullet"/>
      </w:pPr>
      <w:r>
        <w:t>Le metriche tariffarie e di rendimento restano di competenza della struttura: questa sezione non tocca prezzi e listini se non come vetrina.</w:t>
      </w:r>
    </w:p>
    <w:p>
      <w:pPr>
        <w:pStyle w:val="ListBullet"/>
      </w:pPr>
      <w:r>
        <w:t>La riallocazione trimestrale tra le cinque voci è il meccanismo con cui la ripartizione si corregge nel tempo, in assenza — oggi — di una baseline di CAC/ROAS per canale misurata sul Commodore.</w:t>
      </w:r>
    </w:p>
    <w:p>
      <w:r>
        <w:br w:type="page"/>
      </w:r>
    </w:p>
    <w:p>
      <w:pPr>
        <w:spacing w:after="0"/>
      </w:pPr>
      <w:r>
        <w:rPr>
          <w:b/>
          <w:color w:val="2F5D62"/>
          <w:sz w:val="18"/>
        </w:rPr>
        <w:t>APPENDICE</w:t>
      </w:r>
    </w:p>
    <w:p>
      <w:pPr>
        <w:spacing w:after="200"/>
        <w:pBdr>
          <w:bottom w:val="single" w:sz="18" w:space="6" w:color="2F5D62"/>
        </w:pBdr>
      </w:pPr>
      <w:r>
        <w:rPr>
          <w:b/>
          <w:color w:val="1A1A2E"/>
          <w:sz w:val="40"/>
        </w:rPr>
        <w:t>Assunzioni &amp; input mancanti</w:t>
      </w:r>
    </w:p>
    <w:p>
      <w:r>
        <w:t>Questo piano è costruito su dati reali di reputazione, mix clientela e domanda di ricerca, ma alcuni tasselli restano fuori dal perimetro diagnostico e vanno raccolti prima di tradurre le azioni delle sezioni precedenti in target numerici definitivi o in importi di spesa. Questa sezione elenca in modo trasparente cosa è benchmark di settore (da validare), cosa è input cliente ancora mancante e cosa è già disponibile e non va richiesto di nuovo. Nessun numero qui presente va letto come dato del cliente: dove manca una fonte, il piano lo dichiara esplicitamente invece di stimarlo.</w:t>
      </w:r>
    </w:p>
    <w:p>
      <w:pPr>
        <w:spacing w:before="160" w:after="40"/>
      </w:pPr>
      <w:r>
        <w:rPr>
          <w:b/>
          <w:color w:val="2F5D62"/>
          <w:sz w:val="24"/>
        </w:rPr>
        <w:t>Obiettivi misurabili</w:t>
      </w:r>
    </w:p>
    <w:p>
      <w:pPr>
        <w:pStyle w:val="ListBullet"/>
      </w:pPr>
      <w:r>
        <w:t>Raccogliere gli input mancanti elencati in questa sezione entro l'avvio del cantiere invernale (v. sez. 05), condizione per fissare target numerici su quota diretto/OTA, CAC e budget in valore assoluto.</w:t>
      </w:r>
    </w:p>
    <w:p>
      <w:pPr>
        <w:pStyle w:val="ListBullet"/>
      </w:pPr>
      <w:r>
        <w:t>Sostituire ogni benchmark di settore con il dato reale del cliente non appena disponibile, aggiornando i KPI di sez. 06 di conseguenza.</w:t>
      </w:r>
    </w:p>
    <w:p>
      <w:pPr>
        <w:spacing w:before="160" w:after="40"/>
      </w:pPr>
      <w:r>
        <w:rPr>
          <w:b/>
          <w:color w:val="2F5D62"/>
          <w:sz w:val="24"/>
        </w:rPr>
        <w:t>Benchmark di settore usati nel piano (da validare col dato reale, non target del cliente)</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Benchmark</w:t>
            </w:r>
          </w:p>
        </w:tc>
        <w:tc>
          <w:tcPr>
            <w:tcW w:type="dxa" w:w="2880"/>
            <w:shd w:val="clear" w:color="auto" w:fill="2F5D62"/>
          </w:tcPr>
          <w:p>
            <w:r>
              <w:rPr>
                <w:b/>
                <w:color w:val="FFFFFF"/>
                <w:sz w:val="19"/>
              </w:rPr>
              <w:t>Valore di riferimento</w:t>
            </w:r>
          </w:p>
        </w:tc>
        <w:tc>
          <w:tcPr>
            <w:tcW w:type="dxa" w:w="2880"/>
            <w:shd w:val="clear" w:color="auto" w:fill="2F5D62"/>
          </w:tcPr>
          <w:p>
            <w:r>
              <w:rPr>
                <w:b/>
                <w:color w:val="FFFFFF"/>
                <w:sz w:val="19"/>
              </w:rPr>
              <w:t>Natura ed uso nel piano</w:t>
            </w:r>
          </w:p>
        </w:tc>
      </w:tr>
      <w:tr>
        <w:tc>
          <w:tcPr>
            <w:tcW w:type="dxa" w:w="2880"/>
          </w:tcPr>
          <w:p>
            <w:r>
              <w:rPr>
                <w:sz w:val="19"/>
              </w:rPr>
              <w:t>Costo di acquisizione diretto vs OTA</w:t>
            </w:r>
          </w:p>
        </w:tc>
        <w:tc>
          <w:tcPr>
            <w:tcW w:type="dxa" w:w="2880"/>
          </w:tcPr>
          <w:p>
            <w:r>
              <w:rPr>
                <w:sz w:val="19"/>
              </w:rPr>
              <w:t>CoA diretto ~4-5% del ricavo vs commissione OTA 15-30%</w:t>
            </w:r>
          </w:p>
        </w:tc>
        <w:tc>
          <w:tcPr>
            <w:tcW w:type="dxa" w:w="2880"/>
          </w:tcPr>
          <w:p>
            <w:r>
              <w:rPr>
                <w:sz w:val="19"/>
              </w:rPr>
              <w:t>Riferimento di settore per motivare lo spostamento di quota verso il diretto (sez. 03-04); non è il CoA reale del Commodore, da calcolare sui ricavi effettivi</w:t>
            </w:r>
          </w:p>
        </w:tc>
      </w:tr>
      <w:tr>
        <w:tc>
          <w:tcPr>
            <w:tcW w:type="dxa" w:w="2880"/>
            <w:shd w:val="clear" w:color="auto" w:fill="EEF2F1"/>
          </w:tcPr>
          <w:p>
            <w:r>
              <w:rPr>
                <w:sz w:val="19"/>
              </w:rPr>
              <w:t>CAC per canale</w:t>
            </w:r>
          </w:p>
        </w:tc>
        <w:tc>
          <w:tcPr>
            <w:tcW w:type="dxa" w:w="2880"/>
            <w:shd w:val="clear" w:color="auto" w:fill="EEF2F1"/>
          </w:tcPr>
          <w:p>
            <w:r>
              <w:rPr>
                <w:sz w:val="19"/>
              </w:rPr>
              <w:t>Diretto indicativo ~15-25 € vs OTA ~35-60 €</w:t>
            </w:r>
          </w:p>
        </w:tc>
        <w:tc>
          <w:tcPr>
            <w:tcW w:type="dxa" w:w="2880"/>
            <w:shd w:val="clear" w:color="auto" w:fill="EEF2F1"/>
          </w:tcPr>
          <w:p>
            <w:r>
              <w:rPr>
                <w:sz w:val="19"/>
              </w:rPr>
              <w:t>Ordine di grandezza per impostare il futuro tracciamento CAC (sez. 06); non misurato su dati del Commodore</w:t>
            </w:r>
          </w:p>
        </w:tc>
      </w:tr>
      <w:tr>
        <w:tc>
          <w:tcPr>
            <w:tcW w:type="dxa" w:w="2880"/>
          </w:tcPr>
          <w:p>
            <w:r>
              <w:rPr>
                <w:sz w:val="19"/>
              </w:rPr>
              <w:t>ROAS su brand/metasearch</w:t>
            </w:r>
          </w:p>
        </w:tc>
        <w:tc>
          <w:tcPr>
            <w:tcW w:type="dxa" w:w="2880"/>
          </w:tcPr>
          <w:p>
            <w:r>
              <w:rPr>
                <w:sz w:val="19"/>
              </w:rPr>
              <w:t>Indicativo ~8:1 per strutture indipendenti</w:t>
            </w:r>
          </w:p>
        </w:tc>
        <w:tc>
          <w:tcPr>
            <w:tcW w:type="dxa" w:w="2880"/>
          </w:tcPr>
          <w:p>
            <w:r>
              <w:rPr>
                <w:sz w:val="19"/>
              </w:rPr>
              <w:t>Riferimento per valutare la performance di eventuali campagne a pagamento sul brand; da tarare sulla realtà del Commodore una volta avviato il tracciamento</w:t>
            </w:r>
          </w:p>
        </w:tc>
      </w:tr>
      <w:tr>
        <w:tc>
          <w:tcPr>
            <w:tcW w:type="dxa" w:w="2880"/>
            <w:shd w:val="clear" w:color="auto" w:fill="EEF2F1"/>
          </w:tcPr>
          <w:p>
            <w:r>
              <w:rPr>
                <w:sz w:val="19"/>
              </w:rPr>
              <w:t>Ripartizione budget per canale/attività</w:t>
            </w:r>
          </w:p>
        </w:tc>
        <w:tc>
          <w:tcPr>
            <w:tcW w:type="dxa" w:w="2880"/>
            <w:shd w:val="clear" w:color="auto" w:fill="EEF2F1"/>
          </w:tcPr>
          <w:p>
            <w:r>
              <w:rPr>
                <w:sz w:val="19"/>
              </w:rPr>
              <w:t>Espressa in sez. 07 come split percentuale</w:t>
            </w:r>
          </w:p>
        </w:tc>
        <w:tc>
          <w:tcPr>
            <w:tcW w:type="dxa" w:w="2880"/>
            <w:shd w:val="clear" w:color="auto" w:fill="EEF2F1"/>
          </w:tcPr>
          <w:p>
            <w:r>
              <w:rPr>
                <w:sz w:val="19"/>
              </w:rPr>
              <w:t>Basata su logiche di canale e stagionalità del comp-set di settore; l'importo assoluto in euro richiede il ricavo reale del cliente, non stimabile in questo piano</w:t>
            </w:r>
          </w:p>
        </w:tc>
      </w:tr>
    </w:tbl>
    <w:p>
      <w:pPr>
        <w:spacing w:after="160"/>
      </w:pPr>
    </w:p>
    <w:p>
      <w:pPr>
        <w:spacing w:before="160" w:after="40"/>
      </w:pPr>
      <w:r>
        <w:rPr>
          <w:b/>
          <w:color w:val="2F5D62"/>
          <w:sz w:val="24"/>
        </w:rPr>
        <w:t>Input cliente non ancora disponibili</w:t>
      </w:r>
    </w:p>
    <w:p>
      <w:pPr>
        <w:pStyle w:val="ListBullet"/>
      </w:pPr>
      <w:r>
        <w:t>Quota diretto/OTA storica e CAC per canale: senza questa baseline gli obiettivi di sez. 04 restano obiettivi di processo (impostare il tracciamento), non target numerici.</w:t>
      </w:r>
    </w:p>
    <w:p>
      <w:pPr>
        <w:pStyle w:val="ListBullet"/>
      </w:pPr>
      <w:r>
        <w:t>Budget marketing reale (importo in euro): necessario per tradurre lo split percentuale di sez. 07 in cifre operative; l'importo assoluto resta un allegato separato di proposta commerciale, fuori da questo piano.</w:t>
      </w:r>
    </w:p>
    <w:p>
      <w:pPr>
        <w:pStyle w:val="ListBullet"/>
      </w:pPr>
      <w:r>
        <w:t>Dati di rendimento tariffario e di occupazione (metriche di revenue management): restano di competenza della struttura e non rientrano in questo piano; qui compaiono solo come input da raccogliere qualora servano a tarare la stagionalità delle azioni di canale.</w:t>
      </w:r>
    </w:p>
    <w:p>
      <w:pPr>
        <w:pStyle w:val="ListBullet"/>
      </w:pPr>
      <w:r>
        <w:t>Calendario eventi locali e fieristici di dettaglio: la roadmap di sez. 05 lavora sui mesi di apertura noti; un calendario eventi puntuale (fiere, manifestazioni, ricorrenze cittadine) affinerebbe le finestre di campagna già impostate.</w:t>
      </w:r>
    </w:p>
    <w:p>
      <w:pPr>
        <w:pStyle w:val="ListBullet"/>
      </w:pPr>
      <w:r>
        <w:t>Accesso a Google Analytics 4 e Search Console: necessario per misurare il traffico organico e il comportamento pre-booking a supporto dei KPI di visibilità di sez. 06.</w:t>
      </w:r>
    </w:p>
    <w:p>
      <w:pPr>
        <w:pStyle w:val="ListBullet"/>
      </w:pPr>
      <w:r>
        <w:t>Accesso e audit del Google Business Profile: completezza, foto, Q&amp;A e frequenza di aggiornamento non sono stati verificabili in fase diagnostica e restano da raccogliere.</w:t>
      </w:r>
    </w:p>
    <w:p>
      <w:pPr>
        <w:pStyle w:val="ListBullet"/>
      </w:pPr>
      <w:r>
        <w:t>Accesso al booking engine e audit tecnico (velocità mobile, step del funnel, parity check su metasearch): condizione per valutare se il canale diretto sia oggi penalizzato prima di investire in spinta al diretto.</w:t>
      </w:r>
    </w:p>
    <w:p>
      <w:pPr>
        <w:pStyle w:val="ListBullet"/>
      </w:pPr>
      <w:r>
        <w:t>Accesso al PMS per le finestre di prenotazione reali per mercato: le finestre citate nel piano restano lette per archetipo, non misurate sul Commodore.</w:t>
      </w:r>
    </w:p>
    <w:p>
      <w:pPr>
        <w:pStyle w:val="ListBullet"/>
      </w:pPr>
      <w:r>
        <w:t>Estensione dell'audit di visibilità sugli assistenti AI al segmento business/sportivo e completamento della misurazione su Gemini e Perplexity, non riusciti per errore tecnico in fase diagnostica.</w:t>
      </w:r>
    </w:p>
    <w:p>
      <w:pPr>
        <w:pStyle w:val="ListBullet"/>
      </w:pPr>
      <w:r>
        <w:t>Dati su presenza e attività social (Instagram, Facebook) e su eventuali sistemi di CRM/email marketing post-soggiorno, propedeutici alle azioni di fidelizzazione di sez. 04-05.</w:t>
      </w:r>
    </w:p>
    <w:p>
      <w:pPr>
        <w:spacing w:before="160" w:after="40"/>
      </w:pPr>
      <w:r>
        <w:rPr>
          <w:b/>
          <w:color w:val="2F5D62"/>
          <w:sz w:val="24"/>
        </w:rPr>
        <w:t>Dati già disponibili — non richiedere di nuovo</w:t>
      </w:r>
    </w:p>
    <w:p>
      <w:pPr>
        <w:pStyle w:val="ListBullet"/>
      </w:pPr>
      <w:r>
        <w:t>La domanda di ricerca (keyword, volumi, posizioni) è già acquisita nel ledger canonico della diagnosi ed è la base delle azioni organiche di sez. 03 e 05: non va ri-raccolta né ri-stimata.</w:t>
      </w:r>
    </w:p>
    <w:p>
      <w:pPr>
        <w:pStyle w:val="ListBullet"/>
      </w:pPr>
      <w:r>
        <w:t>Un eventuale nuovo export della stessa fonte SEO, se realizzato in futuro, entra nel piano solo come delta datato rispetto al ledger attuale, non come sostituzione.</w:t>
      </w:r>
    </w:p>
    <w:p>
      <w:pPr>
        <w:pStyle w:val="ListBullet"/>
      </w:pPr>
      <w:r>
        <w:t>Rating multipiattaforma, mix segmenti e mix lingua recensioni sono dati reali già consolidati nelle sezioni precedenti e restano validi come baseline fino al prossimo aggiornamento della reputazione.</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Input da raccogliere</w:t>
            </w:r>
          </w:p>
        </w:tc>
        <w:tc>
          <w:tcPr>
            <w:tcW w:type="dxa" w:w="2880"/>
            <w:shd w:val="clear" w:color="auto" w:fill="2F5D62"/>
          </w:tcPr>
          <w:p>
            <w:r>
              <w:rPr>
                <w:b/>
                <w:color w:val="FFFFFF"/>
                <w:sz w:val="19"/>
              </w:rPr>
              <w:t>Owner suggerito</w:t>
            </w:r>
          </w:p>
        </w:tc>
        <w:tc>
          <w:tcPr>
            <w:tcW w:type="dxa" w:w="2880"/>
            <w:shd w:val="clear" w:color="auto" w:fill="2F5D62"/>
          </w:tcPr>
          <w:p>
            <w:r>
              <w:rPr>
                <w:b/>
                <w:color w:val="FFFFFF"/>
                <w:sz w:val="19"/>
              </w:rPr>
              <w:t>Effetto sul piano una volta disponibile</w:t>
            </w:r>
          </w:p>
        </w:tc>
      </w:tr>
      <w:tr>
        <w:tc>
          <w:tcPr>
            <w:tcW w:type="dxa" w:w="2880"/>
          </w:tcPr>
          <w:p>
            <w:r>
              <w:rPr>
                <w:sz w:val="19"/>
              </w:rPr>
              <w:t>Quota diretto/OTA storica + CAC per canale</w:t>
            </w:r>
          </w:p>
        </w:tc>
        <w:tc>
          <w:tcPr>
            <w:tcW w:type="dxa" w:w="2880"/>
          </w:tcPr>
          <w:p>
            <w:r>
              <w:rPr>
                <w:sz w:val="19"/>
              </w:rPr>
              <w:t>Cliente / booking engine</w:t>
            </w:r>
          </w:p>
        </w:tc>
        <w:tc>
          <w:tcPr>
            <w:tcW w:type="dxa" w:w="2880"/>
          </w:tcPr>
          <w:p>
            <w:r>
              <w:rPr>
                <w:sz w:val="19"/>
              </w:rPr>
              <w:t>Trasforma l'obiettivo di processo di sez. 04 in un target numerico di quota diretto</w:t>
            </w:r>
          </w:p>
        </w:tc>
      </w:tr>
      <w:tr>
        <w:tc>
          <w:tcPr>
            <w:tcW w:type="dxa" w:w="2880"/>
            <w:shd w:val="clear" w:color="auto" w:fill="EEF2F1"/>
          </w:tcPr>
          <w:p>
            <w:r>
              <w:rPr>
                <w:sz w:val="19"/>
              </w:rPr>
              <w:t>Budget marketing reale (€)</w:t>
            </w:r>
          </w:p>
        </w:tc>
        <w:tc>
          <w:tcPr>
            <w:tcW w:type="dxa" w:w="2880"/>
            <w:shd w:val="clear" w:color="auto" w:fill="EEF2F1"/>
          </w:tcPr>
          <w:p>
            <w:r>
              <w:rPr>
                <w:sz w:val="19"/>
              </w:rPr>
              <w:t>Cliente</w:t>
            </w:r>
          </w:p>
        </w:tc>
        <w:tc>
          <w:tcPr>
            <w:tcW w:type="dxa" w:w="2880"/>
            <w:shd w:val="clear" w:color="auto" w:fill="EEF2F1"/>
          </w:tcPr>
          <w:p>
            <w:r>
              <w:rPr>
                <w:sz w:val="19"/>
              </w:rPr>
              <w:t>Converte lo split percentuale di sez. 07 in piano di spesa operativo</w:t>
            </w:r>
          </w:p>
        </w:tc>
      </w:tr>
      <w:tr>
        <w:tc>
          <w:tcPr>
            <w:tcW w:type="dxa" w:w="2880"/>
          </w:tcPr>
          <w:p>
            <w:r>
              <w:rPr>
                <w:sz w:val="19"/>
              </w:rPr>
              <w:t>Accesso GA4 + Search Console</w:t>
            </w:r>
          </w:p>
        </w:tc>
        <w:tc>
          <w:tcPr>
            <w:tcW w:type="dxa" w:w="2880"/>
          </w:tcPr>
          <w:p>
            <w:r>
              <w:rPr>
                <w:sz w:val="19"/>
              </w:rPr>
              <w:t>Cliente / agenzia</w:t>
            </w:r>
          </w:p>
        </w:tc>
        <w:tc>
          <w:tcPr>
            <w:tcW w:type="dxa" w:w="2880"/>
          </w:tcPr>
          <w:p>
            <w:r>
              <w:rPr>
                <w:sz w:val="19"/>
              </w:rPr>
              <w:t>Attiva la misurazione reale dei KPI di visibilità organica in sez. 06</w:t>
            </w:r>
          </w:p>
        </w:tc>
      </w:tr>
      <w:tr>
        <w:tc>
          <w:tcPr>
            <w:tcW w:type="dxa" w:w="2880"/>
            <w:shd w:val="clear" w:color="auto" w:fill="EEF2F1"/>
          </w:tcPr>
          <w:p>
            <w:r>
              <w:rPr>
                <w:sz w:val="19"/>
              </w:rPr>
              <w:t>Audit booking engine e parity metasearch</w:t>
            </w:r>
          </w:p>
        </w:tc>
        <w:tc>
          <w:tcPr>
            <w:tcW w:type="dxa" w:w="2880"/>
            <w:shd w:val="clear" w:color="auto" w:fill="EEF2F1"/>
          </w:tcPr>
          <w:p>
            <w:r>
              <w:rPr>
                <w:sz w:val="19"/>
              </w:rPr>
              <w:t>Agenzia</w:t>
            </w:r>
          </w:p>
        </w:tc>
        <w:tc>
          <w:tcPr>
            <w:tcW w:type="dxa" w:w="2880"/>
            <w:shd w:val="clear" w:color="auto" w:fill="EEF2F1"/>
          </w:tcPr>
          <w:p>
            <w:r>
              <w:rPr>
                <w:sz w:val="19"/>
              </w:rPr>
              <w:t>Convalida (o rivede) la priorità al diretto impostata in sez. 03</w:t>
            </w:r>
          </w:p>
        </w:tc>
      </w:tr>
      <w:tr>
        <w:tc>
          <w:tcPr>
            <w:tcW w:type="dxa" w:w="2880"/>
          </w:tcPr>
          <w:p>
            <w:r>
              <w:rPr>
                <w:sz w:val="19"/>
              </w:rPr>
              <w:t>Calendario eventi locali</w:t>
            </w:r>
          </w:p>
        </w:tc>
        <w:tc>
          <w:tcPr>
            <w:tcW w:type="dxa" w:w="2880"/>
          </w:tcPr>
          <w:p>
            <w:r>
              <w:rPr>
                <w:sz w:val="19"/>
              </w:rPr>
              <w:t>Cliente / DMO locale</w:t>
            </w:r>
          </w:p>
        </w:tc>
        <w:tc>
          <w:tcPr>
            <w:tcW w:type="dxa" w:w="2880"/>
          </w:tcPr>
          <w:p>
            <w:r>
              <w:rPr>
                <w:sz w:val="19"/>
              </w:rPr>
              <w:t>Affina le finestre di campagna di sez. 05 già ancorate ai mesi di apertura</w:t>
            </w:r>
          </w:p>
        </w:tc>
      </w:tr>
      <w:tr>
        <w:tc>
          <w:tcPr>
            <w:tcW w:type="dxa" w:w="2880"/>
            <w:shd w:val="clear" w:color="auto" w:fill="EEF2F1"/>
          </w:tcPr>
          <w:p>
            <w:r>
              <w:rPr>
                <w:sz w:val="19"/>
              </w:rPr>
              <w:t>Estensione audit AEO (segmento business, Gemini, Perplexity)</w:t>
            </w:r>
          </w:p>
        </w:tc>
        <w:tc>
          <w:tcPr>
            <w:tcW w:type="dxa" w:w="2880"/>
            <w:shd w:val="clear" w:color="auto" w:fill="EEF2F1"/>
          </w:tcPr>
          <w:p>
            <w:r>
              <w:rPr>
                <w:sz w:val="19"/>
              </w:rPr>
              <w:t>Agenzia</w:t>
            </w:r>
          </w:p>
        </w:tc>
        <w:tc>
          <w:tcPr>
            <w:tcW w:type="dxa" w:w="2880"/>
            <w:shd w:val="clear" w:color="auto" w:fill="EEF2F1"/>
          </w:tcPr>
          <w:p>
            <w:r>
              <w:rPr>
                <w:sz w:val="19"/>
              </w:rPr>
              <w:t>Completa il quadro di visibilità sugli assistenti AI oggi parziale (solo OpenAI)</w:t>
            </w:r>
          </w:p>
        </w:tc>
      </w:tr>
    </w:tbl>
    <w:p>
      <w:pPr>
        <w:spacing w:after="160"/>
      </w:pPr>
    </w:p>
    <w:p>
      <w:pPr>
        <w:spacing w:before="160" w:after="40"/>
      </w:pPr>
      <w:r>
        <w:rPr>
          <w:b/>
          <w:color w:val="2F5D62"/>
          <w:sz w:val="24"/>
        </w:rPr>
        <w:t>Note esecutive</w:t>
      </w:r>
    </w:p>
    <w:p>
      <w:r>
        <w:t>La priorità di raccolta segue la sequenza del cantiere invernale: accesso a GA4/Search Console/Google Business Profile e audit del booking engine per primi, perché condizionano la misurabilità delle azioni organiche e di canale già avviate; budget reale e quota diretto/CAC storici a seguire, per trasformare lo split percentuale di sez. 07 in un piano di spesa e in target di quota diretto veri e propri. Fino a quel momento, ogni cifra di budget in euro e ogni target di quota diretto restano fuori da questo piano per esplicita scelta metodologica, non per dimenticanza.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