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pPr>
    </w:p>
    <w:p>
      <w:pPr>
        <w:shd w:val="clear" w:color="auto" w:fill="2F5D62"/>
        <w:spacing w:before="200" w:after="200"/>
        <w:jc w:val="center"/>
      </w:pPr>
      <w:r>
        <w:rPr>
          <w:b/>
          <w:color w:val="FFFFFF"/>
          <w:sz w:val="30"/>
        </w:rPr>
        <w:t>PIANO STRATEGICO DI MARKETING</w:t>
      </w:r>
    </w:p>
    <w:p>
      <w:pPr>
        <w:spacing w:before="480"/>
        <w:jc w:val="center"/>
      </w:pPr>
      <w:r>
        <w:rPr>
          <w:b/>
          <w:color w:val="1A1A2E"/>
          <w:sz w:val="60"/>
        </w:rPr>
        <w:t>HOTEL MEDITERRANEO RICCIONE</w:t>
      </w:r>
    </w:p>
    <w:p>
      <w:pPr>
        <w:jc w:val="center"/>
      </w:pPr>
      <w:r>
        <w:rPr>
          <w:color w:val="6B7280"/>
          <w:sz w:val="26"/>
        </w:rPr>
        <w:t>Riccione  ·  4 stelle</w:t>
      </w:r>
    </w:p>
    <w:p>
      <w:pPr>
        <w:spacing w:before="360"/>
        <w:pBdr>
          <w:bottom w:val="single" w:sz="12" w:space="6" w:color="2F5D62"/>
        </w:pBdr>
      </w:pPr>
    </w:p>
    <w:p>
      <w:pPr>
        <w:spacing w:before="160"/>
        <w:jc w:val="center"/>
      </w:pPr>
      <w:r>
        <w:rPr>
          <w:color w:val="6B7280"/>
          <w:sz w:val="18"/>
        </w:rPr>
        <w:t>Documento operativo · 22/07/2026 12:13 · Uso interno</w:t>
        <w:br/>
        <w:t>A cura di Agenzia · su base di analisi diagnostica</w:t>
        <w:br/>
        <w:t>Proposta economica: allegato separato a cura di Agenzia</w:t>
      </w:r>
    </w:p>
    <w:p>
      <w:r>
        <w:br w:type="page"/>
      </w:r>
    </w:p>
    <w:p>
      <w:pPr>
        <w:pBdr>
          <w:bottom w:val="single" w:sz="14" w:space="6" w:color="2F5D62"/>
        </w:pBdr>
      </w:pPr>
      <w:r>
        <w:rPr>
          <w:b/>
          <w:color w:val="1A1A2E"/>
          <w:sz w:val="36"/>
        </w:rPr>
        <w:t>Indice del Piano</w:t>
      </w:r>
    </w:p>
    <w:p>
      <w:r>
        <w:rPr>
          <w:color w:val="6B7280"/>
        </w:rPr>
        <w:t>Documento strategico di vertice: trasforma l'analisi diagnostica competitiva e reputazionale in un piano operativo di marketing. Per ogni area: sintesi strategica, obiettivi misurabili, azioni (Evidenza → Implicazione → Azione) e KPI.</w:t>
      </w:r>
    </w:p>
    <w:p>
      <w:pPr>
        <w:pStyle w:val="ListNumber"/>
      </w:pPr>
      <w:r>
        <w:t>01 — Executive summary &amp; posizionamento</w:t>
      </w:r>
    </w:p>
    <w:p>
      <w:pPr>
        <w:pStyle w:val="ListNumber"/>
      </w:pPr>
      <w:r>
        <w:t>02 — Segmenti prioritari &amp; messaggi</w:t>
      </w:r>
    </w:p>
    <w:p>
      <w:pPr>
        <w:pStyle w:val="ListNumber"/>
      </w:pPr>
      <w:r>
        <w:t>03 — Strategia di canale (core)</w:t>
      </w:r>
    </w:p>
    <w:p>
      <w:pPr>
        <w:pStyle w:val="ListNumber"/>
      </w:pPr>
      <w:r>
        <w:t>04 — Distribuzione &amp; mercati</w:t>
      </w:r>
    </w:p>
    <w:p>
      <w:pPr>
        <w:pStyle w:val="ListNumber"/>
      </w:pPr>
      <w:r>
        <w:t>05 — Roadmap 12 mesi</w:t>
      </w:r>
    </w:p>
    <w:p>
      <w:pPr>
        <w:pStyle w:val="ListNumber"/>
      </w:pPr>
      <w:r>
        <w:t>06 — Misurazione &amp; governance</w:t>
      </w:r>
    </w:p>
    <w:p>
      <w:pPr>
        <w:pStyle w:val="ListNumber"/>
      </w:pPr>
      <w:r>
        <w:t>07 — Budget (ripartizione %)</w:t>
      </w:r>
    </w:p>
    <w:p>
      <w:pPr>
        <w:pStyle w:val="ListNumber"/>
      </w:pPr>
      <w:r>
        <w:t>08 — Assunzioni &amp; input mancanti</w:t>
      </w:r>
    </w:p>
    <w:p>
      <w:r>
        <w:br w:type="page"/>
      </w:r>
    </w:p>
    <w:p>
      <w:pPr>
        <w:spacing w:after="0"/>
      </w:pPr>
      <w:r>
        <w:rPr>
          <w:b/>
          <w:color w:val="2F5D62"/>
          <w:sz w:val="18"/>
        </w:rPr>
        <w:t>SEZIONE 01</w:t>
      </w:r>
    </w:p>
    <w:p>
      <w:pPr>
        <w:spacing w:after="200"/>
        <w:pBdr>
          <w:bottom w:val="single" w:sz="18" w:space="6" w:color="2F5D62"/>
        </w:pBdr>
      </w:pPr>
      <w:r>
        <w:rPr>
          <w:b/>
          <w:color w:val="1A1A2E"/>
          <w:sz w:val="40"/>
        </w:rPr>
        <w:t>Executive summary &amp; posizionamento</w:t>
      </w:r>
    </w:p>
    <w:p>
      <w:r>
        <w:t>L'Hotel Mediterraneo gioca la propria partita su Riccione centro come hotel 4 stelle fronte mare a doppia vocazione, leisure familiare e business congressuale, un posizionamento che pochissimi competitor del set possono realmente contendere perché combinano insieme l'affaccio su Viale Ceccarini e un Centro Congressi da 8 sale a 400 metri dal Palazzo dei Congressi. La mossa strategica per i prossimi dodici mesi non è inseguire il rating medio del comp-set con interventi generici, ma tradurre in visibilità e in prodotto ciò che la struttura già possiede e che oggi resta sotto-espresso: la posizione come argomento commerciale sistematico verso famiglie e coppie, il Centro Congressi come canale B2B strutturato e non solo come dotazione elencata, e la coerenza tra il comfort in camera e la promessa di un 4 stelle fronte mare. Il piano lavora su tre leve integrate: presidiare la domanda non-brand ad alto volume oggi persa quasi per intero, dare al segmento business un processo di acquisizione degno del proprio peso, e chiudere il divario percepito su comfort e rapporto qualità-prezzo prima che eroda la fedeltà dei clienti abituali su cui la struttura si regge.</w:t>
      </w:r>
    </w:p>
    <w:p>
      <w:r>
        <w:t>Il sito e l'offerta commerciale raccontano una struttura pensata deliberatamente per due pubblici, famiglie leisure e aziende/congressi, con pagine e pacchetti dedicati a entrambi; i dati di reputazione confermano invece un terzo pubblico, la coppia, come componente ampia e ad altissimo sentiment, oggi la meno servita in termini di contenuto dedicato rispetto al suo peso reale. Questo scarto tra posizionamento dichiarato e clientela misurata è lo scostamento di archetipo su cui il piano interviene: non si tratta di correggere il posizionamento family/business, che resta corretto e va anzi rafforzato, ma di aggiungergli un terzo binario esplicito per la coppia, oggi trattato come conseguenza implicita della posizione fronte mare invece che come segmento presidiato con contenuti e offerta propri.</w:t>
      </w:r>
    </w:p>
    <w:p>
      <w:pPr>
        <w:spacing w:before="160" w:after="40"/>
      </w:pPr>
      <w:r>
        <w:rPr>
          <w:b/>
          <w:color w:val="2F5D62"/>
          <w:sz w:val="24"/>
        </w:rPr>
        <w:t>Obiettivi misurabili</w:t>
      </w:r>
    </w:p>
    <w:p>
      <w:pPr>
        <w:pStyle w:val="ListBullet"/>
      </w:pPr>
      <w:r>
        <w:t>Presidiare in top posizione la domanda non-brand ad alto volume oggi in gap, a partire dalle query allineate al posizionamento family e mare (v. sez. 06 per i target numerici)</w:t>
      </w:r>
    </w:p>
    <w:p>
      <w:pPr>
        <w:pStyle w:val="ListBullet"/>
      </w:pPr>
      <w:r>
        <w:t>Costruire un canale di acquisizione strutturato per il segmento business/MICE, con un processo di richiesta preventivo tracciabile (obiettivo di processo: oggi non esiste una baseline di conversione RFP)</w:t>
      </w:r>
    </w:p>
    <w:p>
      <w:pPr>
        <w:pStyle w:val="ListBullet"/>
      </w:pPr>
      <w:r>
        <w:t>Riequilibrare il mix di contenuto verso il segmento coppia, oggi sotto-rappresentato rispetto al suo peso reale nella clientela effettiva</w:t>
      </w:r>
    </w:p>
    <w:p>
      <w:pPr>
        <w:pStyle w:val="ListBullet"/>
      </w:pPr>
      <w:r>
        <w:t>Avviare il piano di rinnovo del comfort in camera (arredi e materassi) sulle camere standard, a difesa della promessa fronte mare 4 stelle</w:t>
      </w:r>
    </w:p>
    <w:p>
      <w:pPr>
        <w:spacing w:before="160" w:after="40"/>
      </w:pPr>
      <w:r>
        <w:rPr>
          <w:b/>
          <w:color w:val="2F5D62"/>
          <w:sz w:val="24"/>
        </w:rPr>
        <w:t>Azioni</w:t>
      </w:r>
    </w:p>
    <w:p>
      <w:r>
        <w:t>La posizione su Viale Ceccarini è già l'argomento più citato e meglio valutato dagli ospiti su ogni piattaforma: significa che è un asset comprato, non solo percepito, e va quindi impiegato come architrave di ogni contenuto rivolto a famiglia e coppia, non relegato a una menzione tra le tante nella pagina camere. L'azione è ricostruire la gerarchia dei contenuti del sito attorno a questo argomento, con pagine e offerte che lo dichiarino esplicitamente nel titolo e nella struttura, invece di lasciarlo emergere solo dalle recensioni.</w:t>
      </w:r>
    </w:p>
    <w:p>
      <w:r>
        <w:t>Il Centro Congressi con 8 sale è un differenziatore condiviso con un solo altro competitor diretto del set, il che lo rende raro ma non ancora sfruttato come canale di acquisizione autonomo: oggi il contatto per meeting e congressi passa solo per email e telefono generici, senza un processo di richiesta preventivo strutturato né presenza rilevata su portali di settore. L'azione è dotare la pagina meeting/congressi di un form di richiesta preventivo con campi su capienza, date e servizi, e verificare la presenza della struttura nei canali B2B/MICE regionali, trasformando un asset fisico in un funnel commerciale tracciabile.</w:t>
      </w:r>
    </w:p>
    <w:p>
      <w:r>
        <w:t>La coppia rappresenta una quota ampia e ad altissimo sentiment della clientela reale, ma il sito non le dedica un binario di contenuto proprio, trattandola come sotto-prodotto della posizione romantica sul lungomare. L'azione è introdurre un segmento di comunicazione dedicato alla coppia, con pacchetti e linguaggio propri accanto a quelli già esistenti per famiglia e business, valorizzando le suite con bagno turco e sauna già presenti come argomento specifico per questo pubblico.</w:t>
      </w:r>
    </w:p>
    <w:p>
      <w:r>
        <w:t>Il comfort delle camere standard è la criticità più diffusa nel giudizio degli ospiti ed è anche l'area dove il distacco dal comp-set è più marcato: se non affrontata, rischia di vanificare nel tempo il vantaggio distintivo sulla posizione, perché un ospite soddisfatto della location ma deluso dal materasso non ritorna e non consiglia. L'azione è un piano di rinnovo prioritario di arredi e materassi sulle camere standard (non solo suite), da programmare nella finestra di chiusura stagionale e da comunicare esplicitamente nelle risposte alle recensioni e negli aggiornamenti dei canali.</w:t>
      </w:r>
    </w:p>
    <w:p>
      <w:r>
        <w:t>L'assenza pressoché totale di presidio sulla domanda non-brand, a fronte di un solo argomento di posizionamento (la posizione fronte mare) che già vince nel giudizio degli ospiti, indica che la struttura non sta raccogliendo la domanda che il mercato esprime per quel preciso vantaggio. L'azione è allineare i contenuti del sito al lessico con cui la domanda si esprime realmente, a partire dalle query che intercettano l'incrocio tra posizione, famiglia e formula di soggiorno, così da colmare il divario tra ciò che l'hotel è e ciò che oggi risulta visibile in ricerca.</w:t>
      </w:r>
    </w:p>
    <w:p>
      <w:pPr>
        <w:spacing w:before="160" w:after="40"/>
      </w:pPr>
      <w:r>
        <w:rPr>
          <w:b/>
          <w:color w:val="2F5D62"/>
          <w:sz w:val="24"/>
        </w:rPr>
        <w:t>KPI</w:t>
      </w:r>
    </w:p>
    <w:p>
      <w:pPr>
        <w:pStyle w:val="ListBullet"/>
      </w:pPr>
      <w:r>
        <w:t>V. sez. 06 per i KPI numerici di riferimento (visibilità organica, reputazione, acquisizione diretta)</w:t>
      </w:r>
    </w:p>
    <w:p>
      <w:pPr>
        <w:spacing w:before="160" w:after="40"/>
      </w:pPr>
      <w:r>
        <w:rPr>
          <w:b/>
          <w:color w:val="2F5D62"/>
          <w:sz w:val="24"/>
        </w:rPr>
        <w:t>Note esecutive</w:t>
      </w:r>
    </w:p>
    <w:p>
      <w:pPr>
        <w:pStyle w:val="ListBullet"/>
      </w:pPr>
      <w:r>
        <w:t>Le metriche tariffarie e di rendimento (listini, formule di prezzo) restano di competenza della struttura: questo piano non le tocca se non come vetrina commerciale</w:t>
      </w:r>
    </w:p>
    <w:p>
      <w:pPr>
        <w:pStyle w:val="ListBullet"/>
      </w:pPr>
      <w:r>
        <w:t>Lo scostamento tra posizionamento dichiarato (family/business) e clientela misurata (quota coppia rilevante) va trattato come priorità di contenuto, non come revisione del posizionamento esistente</w:t>
      </w:r>
    </w:p>
    <w:p>
      <w:pPr>
        <w:pStyle w:val="ListBullet"/>
      </w:pPr>
      <w:r>
        <w:t>Il piano di rinnovo comfort camere è un intervento fisico che la comunicazione può accompagnare ma non sostituire: il punteggio di reputazione relativo si muove su orizzonti lenti, non in pochi mesi</w:t>
      </w:r>
    </w:p>
    <w:p>
      <w:r>
        <w:br w:type="page"/>
      </w:r>
    </w:p>
    <w:p>
      <w:pPr>
        <w:spacing w:after="0"/>
      </w:pPr>
      <w:r>
        <w:rPr>
          <w:b/>
          <w:color w:val="2F5D62"/>
          <w:sz w:val="18"/>
        </w:rPr>
        <w:t>SEZIONE 02</w:t>
      </w:r>
    </w:p>
    <w:p>
      <w:pPr>
        <w:spacing w:after="200"/>
        <w:pBdr>
          <w:bottom w:val="single" w:sz="18" w:space="6" w:color="2F5D62"/>
        </w:pBdr>
      </w:pPr>
      <w:r>
        <w:rPr>
          <w:b/>
          <w:color w:val="1A1A2E"/>
          <w:sz w:val="40"/>
        </w:rPr>
        <w:t>Segmenti prioritari &amp; messaggi</w:t>
      </w:r>
    </w:p>
    <w:p>
      <w:pPr>
        <w:spacing w:before="160" w:after="40"/>
      </w:pPr>
      <w:r>
        <w:rPr>
          <w:b/>
          <w:color w:val="2F5D62"/>
          <w:sz w:val="24"/>
        </w:rPr>
        <w:t>Mix di clientela reale (decision record — verità del piano)</w:t>
      </w:r>
    </w:p>
    <w:p>
      <w:r>
        <w:t>Coppie + Famiglie = 57,0% del mix di clientela reale (recensioni Booking): Coppie 37,9% · Famiglie 19,1%.</w:t>
      </w:r>
    </w:p>
    <w:p>
      <w:r>
        <w:t>La clientela reale del Mediterraneo è tripolare — famiglia, coppia, business/congressuale — e il piano deve parlare a ciascuno con un lessico proprio, non con un messaggio unico annacquato. Il compito di questa sezione è tradurre i tre pesi in altrettanti messaggi operativi, coerenti con le formule di prodotto e con le finestre di prenotazione già inserite in roadmap (sez. 05), senza ridefinire quote o priorità già fissate a monte.</w:t>
      </w:r>
    </w:p>
    <w:p>
      <w:pPr>
        <w:spacing w:before="160" w:after="40"/>
      </w:pPr>
      <w:r>
        <w:rPr>
          <w:b/>
          <w:color w:val="2F5D62"/>
          <w:sz w:val="24"/>
        </w:rPr>
        <w:t>Obiettivi misurabili</w:t>
      </w:r>
    </w:p>
    <w:p>
      <w:pPr>
        <w:pStyle w:val="ListBullet"/>
      </w:pPr>
      <w:r>
        <w:t>Pubblicare entro il primo trimestre operativo una pagina/famiglia di contenuti dedicata a ciascuno dei tre segmenti prioritari, con lessico di prodotto esplicito (formule pensione, family plan, spiaggia inclusa) per famiglia e coppia, e con contenuti a supporto RFP per il segmento business — obiettivo di processo, in attesa della baseline di conversione per canale (v. sez. 08)</w:t>
      </w:r>
    </w:p>
    <w:p>
      <w:pPr>
        <w:pStyle w:val="ListBullet"/>
      </w:pPr>
      <w:r>
        <w:t>Allineare il naming e i contenuti dell'offerta 'family hotel' alla domanda non presidiata già individuata in sede di canale (v. sez. 03), senza ricalcolare qui i volumi</w:t>
      </w:r>
    </w:p>
    <w:p>
      <w:pPr>
        <w:spacing w:before="160" w:after="40"/>
      </w:pPr>
      <w:r>
        <w:rPr>
          <w:b/>
          <w:color w:val="2F5D62"/>
          <w:sz w:val="24"/>
        </w:rPr>
        <w:t>Azioni</w:t>
      </w:r>
    </w:p>
    <w:p>
      <w:r>
        <w:t>La famiglia pesa quasi due terzi... in realtà pesa circa un terzo della clientela reale (quota TripAdvisor 'in famiglia', già citata in apertura di piano) ed è il segmento con la dotazione di servizio più ricca sulla carta — mini club, sala giochi, salone climatizzato vista mare, piscina panoramica — ma il messaggio pubblico non usa quasi mai questo lessico in forma strutturata. Il rischio è che chi cerca esplicitamente un family hotel non trovi conferma immediata dell'offerta reale. Il messaggio-guida per la famiglia deve nominare la formula di pensione (pensione completa o all inclusive), il piano famiglia con bambini gratis o scontati per fascia d'età modulato sui mesi di spalla, e la spiaggia inclusa (ombrellone e lettini per camera): senza questi tre elementi il messaggio resta consulenziale e non vendibile. La finestra di prenotazione di questo segmento è tipicamente medio-lunga, con blocco delle date scolastiche e dei ponti: la comunicazione va quindi anticipata rispetto all'apertura della domanda di alta stagione, con i mesi operativi già fissati in roadmap.</w:t>
      </w:r>
    </w:p>
    <w:p>
      <w:r>
        <w:t>La coppia è il secondo polo, con un peso che nelle due fonti disponibili oscilla tra poco più di un quarto e quasi due quinti — la divergenza tra le fonti è di per sé un segnale da annotare, non un dato da comprimere in un unico numero. Il posizionamento su Viale Ceccarini si presta naturalmente al racconto della coppia (passeggiata, relax, suite con bagno turco e sauna), ma i contenuti pubblicati restano generalisti. Va costruito un messaggio differenziato per le due anime del segmento: la coppia weekend cerca immediatezza e prezzo-posizione, la coppia matura cerca cura del dettaglio ed esperienza spa. Per entrambe vale il richiamo alla formula 'book early' come argomento di conversione anticipata, mentre la prenotazione last-minute resta l'esito naturale della quota più spontanea. La finestra di prenotazione è quindi bimodale: anticipata per l'occasione speciale e la coppia matura, ravvicinata per il weekend.</w:t>
      </w:r>
    </w:p>
    <w:p>
      <w:r>
        <w:t>Il business/congressuale pesa poco più di un quarto della clientela reale e si distingue dagli altri due per l'assenza quasi totale della fase di ispirazione: chi organizza un evento aziendale parte da vincoli già dati (date, capienza, budget) e decide su criteri di idoneità operativa, non emozionale. Il messaggio-guida qui non è di atmosfera ma di specifica tecnica: capienza delle sale (dalle più piccole alla plenaria da 320 posti), luce naturale, servizi accessori (welcome coffee, wifi dedicato, videoproiezione), vicinanza al Palazzo dei Congressi e alla stazione. Il gancio distintivo di questo messaggio è la richiesta di preventivo strutturata online: senza un canale di raccolta RFP dedicato, il messaggio per quanto ben scritto si scontra con un imbuto di contatto che oggi passa solo per email e telefono generici.</w:t>
      </w:r>
    </w:p>
    <w:p>
      <w:pPr>
        <w:spacing w:before="160" w:after="40"/>
      </w:pPr>
      <w:r>
        <w:rPr>
          <w:b/>
          <w:color w:val="2F5D62"/>
          <w:sz w:val="24"/>
        </w:rPr>
        <w:t>KPI</w:t>
      </w:r>
    </w:p>
    <w:p>
      <w:pPr>
        <w:pStyle w:val="ListBullet"/>
      </w:pPr>
      <w:r>
        <w:t>Copertura contenuti per segmento: v. sez. 06</w:t>
      </w:r>
    </w:p>
    <w:p>
      <w:pPr>
        <w:pStyle w:val="ListBullet"/>
      </w:pPr>
      <w:r>
        <w:t>Tasso di conversione delle pagine segmento (famiglia, coppia, business): v. sez. 06</w:t>
      </w:r>
    </w:p>
    <w:p>
      <w:pPr>
        <w:pStyle w:val="ListBullet"/>
      </w:pPr>
      <w:r>
        <w:t>Volume e qualità delle richieste RFP intercettate dal nuovo canale dedicato: v. sez. 06</w:t>
      </w:r>
    </w:p>
    <w:p>
      <w:pPr>
        <w:spacing w:before="160" w:after="40"/>
      </w:pPr>
      <w:r>
        <w:rPr>
          <w:b/>
          <w:color w:val="2F5D62"/>
          <w:sz w:val="24"/>
        </w:rPr>
        <w:t>Note esecutive</w:t>
      </w:r>
    </w:p>
    <w:p>
      <w:pPr>
        <w:pStyle w:val="ListBullet"/>
      </w:pPr>
      <w:r>
        <w:t>Le quote di segmento restano quelle già fissate a monte del piano; qui si usano solo per calibrare il messaggio, non si ricalcolano né si arrotondano.</w:t>
      </w:r>
    </w:p>
    <w:p>
      <w:pPr>
        <w:pStyle w:val="ListBullet"/>
      </w:pPr>
      <w:r>
        <w:t>Il gruppo di amici (quota minoritaria) e il viaggiatore singolo (quota con forte divergenza tra le due fonti disponibili) restano fuori dai tre messaggi prioritari: non giustificano oggi un investimento di contenuto dedicato, ma vanno monitorati nel tempo.</w:t>
      </w:r>
    </w:p>
    <w:p>
      <w:pPr>
        <w:pStyle w:val="ListBullet"/>
      </w:pPr>
      <w:r>
        <w:t>Ogni messaggio di segmento deve restare coerente con le finestre di campagna e i mesi operativi già fissati in roadmap (sez. 05): questa sezione non introduce un calendario proprio.</w:t>
      </w:r>
    </w:p>
    <w:p>
      <w:r>
        <w:br w:type="page"/>
      </w:r>
    </w:p>
    <w:p>
      <w:pPr>
        <w:spacing w:after="0"/>
      </w:pPr>
      <w:r>
        <w:rPr>
          <w:b/>
          <w:color w:val="2F5D62"/>
          <w:sz w:val="18"/>
        </w:rPr>
        <w:t>SEZIONE 03</w:t>
      </w:r>
    </w:p>
    <w:p>
      <w:pPr>
        <w:spacing w:after="200"/>
        <w:pBdr>
          <w:bottom w:val="single" w:sz="18" w:space="6" w:color="2F5D62"/>
        </w:pBdr>
      </w:pPr>
      <w:r>
        <w:rPr>
          <w:b/>
          <w:color w:val="1A1A2E"/>
          <w:sz w:val="40"/>
        </w:rPr>
        <w:t>Strategia di canale (core)</w:t>
      </w:r>
    </w:p>
    <w:p>
      <w:pPr>
        <w:spacing w:before="160" w:after="40"/>
      </w:pPr>
      <w:r>
        <w:rPr>
          <w:b/>
          <w:color w:val="2F5D62"/>
          <w:sz w:val="24"/>
        </w:rPr>
        <w:t>Matrice dei canali (decision record — verità del piano)</w:t>
      </w:r>
    </w:p>
    <w:tbl>
      <w:tblPr>
        <w:tblStyle w:val="TableGrid"/>
        <w:tblW w:type="auto" w:w="0"/>
        <w:jc w:val="center"/>
        <w:tblLook w:firstColumn="1" w:firstRow="1" w:lastColumn="0" w:lastRow="0" w:noHBand="0" w:noVBand="1" w:val="04A0"/>
      </w:tblPr>
      <w:tblGrid>
        <w:gridCol w:w="1728"/>
        <w:gridCol w:w="1728"/>
        <w:gridCol w:w="1728"/>
        <w:gridCol w:w="1728"/>
        <w:gridCol w:w="1728"/>
      </w:tblGrid>
      <w:tr>
        <w:trPr>
          <w:tblHeader w:val="true"/>
        </w:trPr>
        <w:tc>
          <w:tcPr>
            <w:tcW w:type="dxa" w:w="1728"/>
            <w:shd w:val="clear" w:color="auto" w:fill="2F5D62"/>
          </w:tcPr>
          <w:p>
            <w:r>
              <w:rPr>
                <w:b/>
                <w:color w:val="FFFFFF"/>
                <w:sz w:val="19"/>
              </w:rPr>
              <w:t>Canale</w:t>
            </w:r>
          </w:p>
        </w:tc>
        <w:tc>
          <w:tcPr>
            <w:tcW w:type="dxa" w:w="1728"/>
            <w:shd w:val="clear" w:color="auto" w:fill="2F5D62"/>
          </w:tcPr>
          <w:p>
            <w:r>
              <w:rPr>
                <w:b/>
                <w:color w:val="FFFFFF"/>
                <w:sz w:val="19"/>
              </w:rPr>
              <w:t>Verdetto</w:t>
            </w:r>
          </w:p>
        </w:tc>
        <w:tc>
          <w:tcPr>
            <w:tcW w:type="dxa" w:w="1728"/>
            <w:shd w:val="clear" w:color="auto" w:fill="2F5D62"/>
          </w:tcPr>
          <w:p>
            <w:r>
              <w:rPr>
                <w:b/>
                <w:color w:val="FFFFFF"/>
                <w:sz w:val="19"/>
              </w:rPr>
              <w:t>Priorità</w:t>
            </w:r>
          </w:p>
        </w:tc>
        <w:tc>
          <w:tcPr>
            <w:tcW w:type="dxa" w:w="1728"/>
            <w:shd w:val="clear" w:color="auto" w:fill="2F5D62"/>
          </w:tcPr>
          <w:p>
            <w:r>
              <w:rPr>
                <w:b/>
                <w:color w:val="FFFFFF"/>
                <w:sz w:val="19"/>
              </w:rPr>
              <w:t>Motivo</w:t>
            </w:r>
          </w:p>
        </w:tc>
        <w:tc>
          <w:tcPr>
            <w:tcW w:type="dxa" w:w="1728"/>
            <w:shd w:val="clear" w:color="auto" w:fill="2F5D62"/>
          </w:tcPr>
          <w:p>
            <w:r>
              <w:rPr>
                <w:b/>
                <w:color w:val="FFFFFF"/>
                <w:sz w:val="19"/>
              </w:rPr>
              <w:t>Dipendenze</w:t>
            </w:r>
          </w:p>
        </w:tc>
      </w:tr>
      <w:tr>
        <w:tc>
          <w:tcPr>
            <w:tcW w:type="dxa" w:w="1728"/>
          </w:tcPr>
          <w:p>
            <w:r>
              <w:rPr>
                <w:sz w:val="19"/>
              </w:rPr>
              <w:t>SEO organico</w:t>
            </w:r>
          </w:p>
        </w:tc>
        <w:tc>
          <w:tcPr>
            <w:tcW w:type="dxa" w:w="1728"/>
          </w:tcPr>
          <w:p>
            <w:r>
              <w:rPr>
                <w:sz w:val="19"/>
              </w:rPr>
              <w:t>Attivare (prioritario)</w:t>
            </w:r>
          </w:p>
        </w:tc>
        <w:tc>
          <w:tcPr>
            <w:tcW w:type="dxa" w:w="1728"/>
          </w:tcPr>
          <w:p>
            <w:r>
              <w:rPr>
                <w:sz w:val="19"/>
              </w:rPr>
              <w:t>alta</w:t>
            </w:r>
          </w:p>
        </w:tc>
        <w:tc>
          <w:tcPr>
            <w:tcW w:type="dxa" w:w="1728"/>
          </w:tcPr>
          <w:p>
            <w:r>
              <w:rPr>
                <w:sz w:val="19"/>
              </w:rPr>
              <w:t>26 keyword su 27 in gap (96%); 55760 ricerche/mese di domanda non presidiata. On-site: mancano dati strutturati per i rich result (breadcrumb, faq, review); 22 pagine offerta non più promosse indicizzate (altro: 12, leisure: 4, sport_evento: 3, fiera_congresso: 3) da potare (301/noindex).</w:t>
            </w:r>
          </w:p>
        </w:tc>
        <w:tc>
          <w:tcPr>
            <w:tcW w:type="dxa" w:w="1728"/>
          </w:tcPr>
          <w:p>
            <w:r>
              <w:rPr>
                <w:sz w:val="19"/>
              </w:rPr>
              <w:t>—</w:t>
            </w:r>
          </w:p>
        </w:tc>
      </w:tr>
      <w:tr>
        <w:tc>
          <w:tcPr>
            <w:tcW w:type="dxa" w:w="1728"/>
            <w:shd w:val="clear" w:color="auto" w:fill="EEF2F1"/>
          </w:tcPr>
          <w:p>
            <w:r>
              <w:rPr>
                <w:sz w:val="19"/>
              </w:rPr>
              <w:t>Search advertising (Google Ads)</w:t>
            </w:r>
          </w:p>
        </w:tc>
        <w:tc>
          <w:tcPr>
            <w:tcW w:type="dxa" w:w="1728"/>
            <w:shd w:val="clear" w:color="auto" w:fill="EEF2F1"/>
          </w:tcPr>
          <w:p>
            <w:r>
              <w:rPr>
                <w:sz w:val="19"/>
              </w:rPr>
              <w:t>Attivare (stagionale)</w:t>
            </w:r>
          </w:p>
        </w:tc>
        <w:tc>
          <w:tcPr>
            <w:tcW w:type="dxa" w:w="1728"/>
            <w:shd w:val="clear" w:color="auto" w:fill="EEF2F1"/>
          </w:tcPr>
          <w:p>
            <w:r>
              <w:rPr>
                <w:sz w:val="19"/>
              </w:rPr>
              <w:t>media</w:t>
            </w:r>
          </w:p>
        </w:tc>
        <w:tc>
          <w:tcPr>
            <w:tcW w:type="dxa" w:w="1728"/>
            <w:shd w:val="clear" w:color="auto" w:fill="EEF2F1"/>
          </w:tcPr>
          <w:p>
            <w:r>
              <w:rPr>
                <w:sz w:val="19"/>
              </w:rPr>
              <w:t>67% della domanda misurata è ad alta competizione: la search advertising presidia le query commerciali dove l'organico non arriva in tempo, su doppia finestra (anticipo di mercato + sotto-data).</w:t>
            </w:r>
          </w:p>
        </w:tc>
        <w:tc>
          <w:tcPr>
            <w:tcW w:type="dxa" w:w="1728"/>
            <w:shd w:val="clear" w:color="auto" w:fill="EEF2F1"/>
          </w:tcPr>
          <w:p>
            <w:r>
              <w:rPr>
                <w:sz w:val="19"/>
              </w:rPr>
              <w:t>—</w:t>
            </w:r>
          </w:p>
        </w:tc>
      </w:tr>
      <w:tr>
        <w:tc>
          <w:tcPr>
            <w:tcW w:type="dxa" w:w="1728"/>
          </w:tcPr>
          <w:p>
            <w:r>
              <w:rPr>
                <w:sz w:val="19"/>
              </w:rPr>
              <w:t>Metasearch (Google Hotel Ads, Trivago)</w:t>
            </w:r>
          </w:p>
        </w:tc>
        <w:tc>
          <w:tcPr>
            <w:tcW w:type="dxa" w:w="1728"/>
          </w:tcPr>
          <w:p>
            <w:r>
              <w:rPr>
                <w:sz w:val="19"/>
              </w:rPr>
              <w:t>Non ora</w:t>
            </w:r>
          </w:p>
        </w:tc>
        <w:tc>
          <w:tcPr>
            <w:tcW w:type="dxa" w:w="1728"/>
          </w:tcPr>
          <w:p>
            <w:r>
              <w:rPr>
                <w:sz w:val="19"/>
              </w:rPr>
              <w:t>bassa</w:t>
            </w:r>
          </w:p>
        </w:tc>
        <w:tc>
          <w:tcPr>
            <w:tcW w:type="dxa" w:w="1728"/>
          </w:tcPr>
          <w:p>
            <w:r>
              <w:rPr>
                <w:sz w:val="19"/>
              </w:rPr>
              <w:t>Dipendenza non verificata: booking diretto presidiato + rate parity.</w:t>
            </w:r>
          </w:p>
        </w:tc>
        <w:tc>
          <w:tcPr>
            <w:tcW w:type="dxa" w:w="1728"/>
          </w:tcPr>
          <w:p>
            <w:r>
              <w:rPr>
                <w:sz w:val="19"/>
              </w:rPr>
              <w:t>booking_diretto, rate_parity</w:t>
            </w:r>
          </w:p>
        </w:tc>
      </w:tr>
      <w:tr>
        <w:tc>
          <w:tcPr>
            <w:tcW w:type="dxa" w:w="1728"/>
            <w:shd w:val="clear" w:color="auto" w:fill="EEF2F1"/>
          </w:tcPr>
          <w:p>
            <w:r>
              <w:rPr>
                <w:sz w:val="19"/>
              </w:rPr>
              <w:t>Sito &amp; booking diretto</w:t>
            </w:r>
          </w:p>
        </w:tc>
        <w:tc>
          <w:tcPr>
            <w:tcW w:type="dxa" w:w="1728"/>
            <w:shd w:val="clear" w:color="auto" w:fill="EEF2F1"/>
          </w:tcPr>
          <w:p>
            <w:r>
              <w:rPr>
                <w:sz w:val="19"/>
              </w:rPr>
              <w:t>Attivare (prioritario)</w:t>
            </w:r>
          </w:p>
        </w:tc>
        <w:tc>
          <w:tcPr>
            <w:tcW w:type="dxa" w:w="1728"/>
            <w:shd w:val="clear" w:color="auto" w:fill="EEF2F1"/>
          </w:tcPr>
          <w:p>
            <w:r>
              <w:rPr>
                <w:sz w:val="19"/>
              </w:rPr>
              <w:t>alta</w:t>
            </w:r>
          </w:p>
        </w:tc>
        <w:tc>
          <w:tcPr>
            <w:tcW w:type="dxa" w:w="1728"/>
            <w:shd w:val="clear" w:color="auto" w:fill="EEF2F1"/>
          </w:tcPr>
          <w:p>
            <w:r>
              <w:rPr>
                <w:sz w:val="19"/>
              </w:rPr>
              <w:t>Il canale diretto è l'obiettivo strutturale: manca il markup Offer/prezzi e il booking engine non è dichiarato — abilitare la conversione diretta (schema Offer, motore di prenotazione). Partire OTTIMIZZANDO la pagina offerte già esistente (https://www.mediterraneoriccione.com/offerte), non creandone una nuova. Il listino va chiuso entro gen per aprire le vendite ai mercati esteri.</w:t>
            </w:r>
          </w:p>
        </w:tc>
        <w:tc>
          <w:tcPr>
            <w:tcW w:type="dxa" w:w="1728"/>
            <w:shd w:val="clear" w:color="auto" w:fill="EEF2F1"/>
          </w:tcPr>
          <w:p>
            <w:r>
              <w:rPr>
                <w:sz w:val="19"/>
              </w:rPr>
              <w:t>—</w:t>
            </w:r>
          </w:p>
        </w:tc>
      </w:tr>
      <w:tr>
        <w:tc>
          <w:tcPr>
            <w:tcW w:type="dxa" w:w="1728"/>
          </w:tcPr>
          <w:p>
            <w:r>
              <w:rPr>
                <w:sz w:val="19"/>
              </w:rPr>
              <w:t>OTA / distribuzione</w:t>
            </w:r>
          </w:p>
        </w:tc>
        <w:tc>
          <w:tcPr>
            <w:tcW w:type="dxa" w:w="1728"/>
          </w:tcPr>
          <w:p>
            <w:r>
              <w:rPr>
                <w:sz w:val="19"/>
              </w:rPr>
              <w:t>Mantenere</w:t>
            </w:r>
          </w:p>
        </w:tc>
        <w:tc>
          <w:tcPr>
            <w:tcW w:type="dxa" w:w="1728"/>
          </w:tcPr>
          <w:p>
            <w:r>
              <w:rPr>
                <w:sz w:val="19"/>
              </w:rPr>
              <w:t>bassa</w:t>
            </w:r>
          </w:p>
        </w:tc>
        <w:tc>
          <w:tcPr>
            <w:tcW w:type="dxa" w:w="1728"/>
          </w:tcPr>
          <w:p>
            <w:r>
              <w:rPr>
                <w:sz w:val="19"/>
              </w:rPr>
              <w:t>Distribuzione OTA da governare per il billboard effect: mantenere presenza e visibilità, spostando progressivamente quota sul canale diretto quando la parità regge.</w:t>
            </w:r>
          </w:p>
        </w:tc>
        <w:tc>
          <w:tcPr>
            <w:tcW w:type="dxa" w:w="1728"/>
          </w:tcPr>
          <w:p>
            <w:r>
              <w:rPr>
                <w:sz w:val="19"/>
              </w:rPr>
              <w:t>booking_diretto, rate_parity</w:t>
            </w:r>
          </w:p>
        </w:tc>
      </w:tr>
      <w:tr>
        <w:tc>
          <w:tcPr>
            <w:tcW w:type="dxa" w:w="1728"/>
            <w:shd w:val="clear" w:color="auto" w:fill="EEF2F1"/>
          </w:tcPr>
          <w:p>
            <w:r>
              <w:rPr>
                <w:sz w:val="19"/>
              </w:rPr>
              <w:t>Social organico</w:t>
            </w:r>
          </w:p>
        </w:tc>
        <w:tc>
          <w:tcPr>
            <w:tcW w:type="dxa" w:w="1728"/>
            <w:shd w:val="clear" w:color="auto" w:fill="EEF2F1"/>
          </w:tcPr>
          <w:p>
            <w:r>
              <w:rPr>
                <w:sz w:val="19"/>
              </w:rPr>
              <w:t>Rafforzare</w:t>
            </w:r>
          </w:p>
        </w:tc>
        <w:tc>
          <w:tcPr>
            <w:tcW w:type="dxa" w:w="1728"/>
            <w:shd w:val="clear" w:color="auto" w:fill="EEF2F1"/>
          </w:tcPr>
          <w:p>
            <w:r>
              <w:rPr>
                <w:sz w:val="19"/>
              </w:rPr>
              <w:t>media</w:t>
            </w:r>
          </w:p>
        </w:tc>
        <w:tc>
          <w:tcPr>
            <w:tcW w:type="dxa" w:w="1728"/>
            <w:shd w:val="clear" w:color="auto" w:fill="EEF2F1"/>
          </w:tcPr>
          <w:p>
            <w:r>
              <w:rPr>
                <w:sz w:val="19"/>
              </w:rPr>
              <w:t>7 asset visuali forti nel profilo (piscina/benessere/fronte mare/terrazza): raccogliere contenuto in stagione e potenziare la presenza organica.</w:t>
            </w:r>
          </w:p>
        </w:tc>
        <w:tc>
          <w:tcPr>
            <w:tcW w:type="dxa" w:w="1728"/>
            <w:shd w:val="clear" w:color="auto" w:fill="EEF2F1"/>
          </w:tcPr>
          <w:p>
            <w:r>
              <w:rPr>
                <w:sz w:val="19"/>
              </w:rPr>
              <w:t>—</w:t>
            </w:r>
          </w:p>
        </w:tc>
      </w:tr>
      <w:tr>
        <w:tc>
          <w:tcPr>
            <w:tcW w:type="dxa" w:w="1728"/>
          </w:tcPr>
          <w:p>
            <w:r>
              <w:rPr>
                <w:sz w:val="19"/>
              </w:rPr>
              <w:t>Social advertising</w:t>
            </w:r>
          </w:p>
        </w:tc>
        <w:tc>
          <w:tcPr>
            <w:tcW w:type="dxa" w:w="1728"/>
          </w:tcPr>
          <w:p>
            <w:r>
              <w:rPr>
                <w:sz w:val="19"/>
              </w:rPr>
              <w:t>Mantenere</w:t>
            </w:r>
          </w:p>
        </w:tc>
        <w:tc>
          <w:tcPr>
            <w:tcW w:type="dxa" w:w="1728"/>
          </w:tcPr>
          <w:p>
            <w:r>
              <w:rPr>
                <w:sz w:val="19"/>
              </w:rPr>
              <w:t>bassa</w:t>
            </w:r>
          </w:p>
        </w:tc>
        <w:tc>
          <w:tcPr>
            <w:tcW w:type="dxa" w:w="1728"/>
          </w:tcPr>
          <w:p>
            <w:r>
              <w:rPr>
                <w:sz w:val="19"/>
              </w:rPr>
              <w:t>Advertising social da attivare su segmenti e finestre stagionali definite: finestra ancorata al picco reale.</w:t>
            </w:r>
          </w:p>
        </w:tc>
        <w:tc>
          <w:tcPr>
            <w:tcW w:type="dxa" w:w="1728"/>
          </w:tcPr>
          <w:p>
            <w:r>
              <w:rPr>
                <w:sz w:val="19"/>
              </w:rPr>
              <w:t>—</w:t>
            </w:r>
          </w:p>
        </w:tc>
      </w:tr>
      <w:tr>
        <w:tc>
          <w:tcPr>
            <w:tcW w:type="dxa" w:w="1728"/>
            <w:shd w:val="clear" w:color="auto" w:fill="EEF2F1"/>
          </w:tcPr>
          <w:p>
            <w:r>
              <w:rPr>
                <w:sz w:val="19"/>
              </w:rPr>
              <w:t>Email &amp; CRM</w:t>
            </w:r>
          </w:p>
        </w:tc>
        <w:tc>
          <w:tcPr>
            <w:tcW w:type="dxa" w:w="1728"/>
            <w:shd w:val="clear" w:color="auto" w:fill="EEF2F1"/>
          </w:tcPr>
          <w:p>
            <w:r>
              <w:rPr>
                <w:sz w:val="19"/>
              </w:rPr>
              <w:t>Attivare</w:t>
            </w:r>
          </w:p>
        </w:tc>
        <w:tc>
          <w:tcPr>
            <w:tcW w:type="dxa" w:w="1728"/>
            <w:shd w:val="clear" w:color="auto" w:fill="EEF2F1"/>
          </w:tcPr>
          <w:p>
            <w:r>
              <w:rPr>
                <w:sz w:val="19"/>
              </w:rPr>
              <w:t>media</w:t>
            </w:r>
          </w:p>
        </w:tc>
        <w:tc>
          <w:tcPr>
            <w:tcW w:type="dxa" w:w="1728"/>
            <w:shd w:val="clear" w:color="auto" w:fill="EEF2F1"/>
          </w:tcPr>
          <w:p>
            <w:r>
              <w:rPr>
                <w:sz w:val="19"/>
              </w:rPr>
              <w:t>Famiglie e coppie sono il 57% della clientela reale: l'economia dei ripetenti giustifica email/CRM come leva di valore del cliente diretto.</w:t>
            </w:r>
          </w:p>
        </w:tc>
        <w:tc>
          <w:tcPr>
            <w:tcW w:type="dxa" w:w="1728"/>
            <w:shd w:val="clear" w:color="auto" w:fill="EEF2F1"/>
          </w:tcPr>
          <w:p>
            <w:r>
              <w:rPr>
                <w:sz w:val="19"/>
              </w:rPr>
              <w:t>—</w:t>
            </w:r>
          </w:p>
        </w:tc>
      </w:tr>
      <w:tr>
        <w:tc>
          <w:tcPr>
            <w:tcW w:type="dxa" w:w="1728"/>
          </w:tcPr>
          <w:p>
            <w:r>
              <w:rPr>
                <w:sz w:val="19"/>
              </w:rPr>
              <w:t>Reputation &amp; gestione recensioni</w:t>
            </w:r>
          </w:p>
        </w:tc>
        <w:tc>
          <w:tcPr>
            <w:tcW w:type="dxa" w:w="1728"/>
          </w:tcPr>
          <w:p>
            <w:r>
              <w:rPr>
                <w:sz w:val="19"/>
              </w:rPr>
              <w:t>Mantenere</w:t>
            </w:r>
          </w:p>
        </w:tc>
        <w:tc>
          <w:tcPr>
            <w:tcW w:type="dxa" w:w="1728"/>
          </w:tcPr>
          <w:p>
            <w:r>
              <w:rPr>
                <w:sz w:val="19"/>
              </w:rPr>
              <w:t>bassa</w:t>
            </w:r>
          </w:p>
        </w:tc>
        <w:tc>
          <w:tcPr>
            <w:tcW w:type="dxa" w:w="1728"/>
          </w:tcPr>
          <w:p>
            <w:r>
              <w:rPr>
                <w:sz w:val="19"/>
              </w:rPr>
              <w:t>Presidio reputazione da mantenere (canale trasversale al journey).</w:t>
            </w:r>
          </w:p>
        </w:tc>
        <w:tc>
          <w:tcPr>
            <w:tcW w:type="dxa" w:w="1728"/>
          </w:tcPr>
          <w:p>
            <w:r>
              <w:rPr>
                <w:sz w:val="19"/>
              </w:rPr>
              <w:t>—</w:t>
            </w:r>
          </w:p>
        </w:tc>
      </w:tr>
      <w:tr>
        <w:tc>
          <w:tcPr>
            <w:tcW w:type="dxa" w:w="1728"/>
            <w:shd w:val="clear" w:color="auto" w:fill="EEF2F1"/>
          </w:tcPr>
          <w:p>
            <w:r>
              <w:rPr>
                <w:sz w:val="19"/>
              </w:rPr>
              <w:t>AEO / assistenti AI</w:t>
            </w:r>
          </w:p>
        </w:tc>
        <w:tc>
          <w:tcPr>
            <w:tcW w:type="dxa" w:w="1728"/>
            <w:shd w:val="clear" w:color="auto" w:fill="EEF2F1"/>
          </w:tcPr>
          <w:p>
            <w:r>
              <w:rPr>
                <w:sz w:val="19"/>
              </w:rPr>
              <w:t>Mantenere</w:t>
            </w:r>
          </w:p>
        </w:tc>
        <w:tc>
          <w:tcPr>
            <w:tcW w:type="dxa" w:w="1728"/>
            <w:shd w:val="clear" w:color="auto" w:fill="EEF2F1"/>
          </w:tcPr>
          <w:p>
            <w:r>
              <w:rPr>
                <w:sz w:val="19"/>
              </w:rPr>
              <w:t>bassa</w:t>
            </w:r>
          </w:p>
        </w:tc>
        <w:tc>
          <w:tcPr>
            <w:tcW w:type="dxa" w:w="1728"/>
            <w:shd w:val="clear" w:color="auto" w:fill="EEF2F1"/>
          </w:tcPr>
          <w:p>
            <w:r>
              <w:rPr>
                <w:sz w:val="19"/>
              </w:rPr>
              <w:t>Audit AEO parziale/provvisorio (copertura provider incompleta): trattare come segnale, non come baseline consolidata.</w:t>
            </w:r>
          </w:p>
        </w:tc>
        <w:tc>
          <w:tcPr>
            <w:tcW w:type="dxa" w:w="1728"/>
            <w:shd w:val="clear" w:color="auto" w:fill="EEF2F1"/>
          </w:tcPr>
          <w:p>
            <w:r>
              <w:rPr>
                <w:sz w:val="19"/>
              </w:rPr>
              <w:t>—</w:t>
            </w:r>
          </w:p>
        </w:tc>
      </w:tr>
      <w:tr>
        <w:tc>
          <w:tcPr>
            <w:tcW w:type="dxa" w:w="1728"/>
          </w:tcPr>
          <w:p>
            <w:r>
              <w:rPr>
                <w:sz w:val="19"/>
              </w:rPr>
              <w:t>Mercato DACH (area di lingua tedesca)</w:t>
            </w:r>
          </w:p>
        </w:tc>
        <w:tc>
          <w:tcPr>
            <w:tcW w:type="dxa" w:w="1728"/>
          </w:tcPr>
          <w:p>
            <w:r>
              <w:rPr>
                <w:sz w:val="19"/>
              </w:rPr>
              <w:t>Attivare</w:t>
            </w:r>
          </w:p>
        </w:tc>
        <w:tc>
          <w:tcPr>
            <w:tcW w:type="dxa" w:w="1728"/>
          </w:tcPr>
          <w:p>
            <w:r>
              <w:rPr>
                <w:sz w:val="19"/>
              </w:rPr>
              <w:t>media</w:t>
            </w:r>
          </w:p>
        </w:tc>
        <w:tc>
          <w:tcPr>
            <w:tcW w:type="dxa" w:w="1728"/>
          </w:tcPr>
          <w:p>
            <w:r>
              <w:rPr>
                <w:sz w:val="19"/>
              </w:rPr>
              <w:t>Mercato DACH già presente: scheda HolidayCheck attiva. Il tedesco prenota con ~5 mesi di anticipo: aprire le vendite di conseguenza.</w:t>
            </w:r>
          </w:p>
        </w:tc>
        <w:tc>
          <w:tcPr>
            <w:tcW w:type="dxa" w:w="1728"/>
          </w:tcPr>
          <w:p>
            <w:r>
              <w:rPr>
                <w:sz w:val="19"/>
              </w:rPr>
              <w:t>—</w:t>
            </w:r>
          </w:p>
        </w:tc>
      </w:tr>
      <w:tr>
        <w:tc>
          <w:tcPr>
            <w:tcW w:type="dxa" w:w="1728"/>
            <w:shd w:val="clear" w:color="auto" w:fill="EEF2F1"/>
          </w:tcPr>
          <w:p>
            <w:r>
              <w:rPr>
                <w:sz w:val="19"/>
              </w:rPr>
              <w:t>Segmento business / MICE</w:t>
            </w:r>
          </w:p>
        </w:tc>
        <w:tc>
          <w:tcPr>
            <w:tcW w:type="dxa" w:w="1728"/>
            <w:shd w:val="clear" w:color="auto" w:fill="EEF2F1"/>
          </w:tcPr>
          <w:p>
            <w:r>
              <w:rPr>
                <w:sz w:val="19"/>
              </w:rPr>
              <w:t>Attivare</w:t>
            </w:r>
          </w:p>
        </w:tc>
        <w:tc>
          <w:tcPr>
            <w:tcW w:type="dxa" w:w="1728"/>
            <w:shd w:val="clear" w:color="auto" w:fill="EEF2F1"/>
          </w:tcPr>
          <w:p>
            <w:r>
              <w:rPr>
                <w:sz w:val="19"/>
              </w:rPr>
              <w:t>media</w:t>
            </w:r>
          </w:p>
        </w:tc>
        <w:tc>
          <w:tcPr>
            <w:tcW w:type="dxa" w:w="1728"/>
            <w:shd w:val="clear" w:color="auto" w:fill="EEF2F1"/>
          </w:tcPr>
          <w:p>
            <w:r>
              <w:rPr>
                <w:sz w:val="19"/>
              </w:rPr>
              <w:t>Struttura annuale con vocazione fiere/business: presidiare il calendario congressuale (piano presenza fiere) oltre alla domanda leisure.</w:t>
            </w:r>
          </w:p>
        </w:tc>
        <w:tc>
          <w:tcPr>
            <w:tcW w:type="dxa" w:w="1728"/>
            <w:shd w:val="clear" w:color="auto" w:fill="EEF2F1"/>
          </w:tcPr>
          <w:p>
            <w:r>
              <w:rPr>
                <w:sz w:val="19"/>
              </w:rPr>
              <w:t>—</w:t>
            </w:r>
          </w:p>
        </w:tc>
      </w:tr>
      <w:tr>
        <w:tc>
          <w:tcPr>
            <w:tcW w:type="dxa" w:w="1728"/>
          </w:tcPr>
          <w:p>
            <w:r>
              <w:rPr>
                <w:sz w:val="19"/>
              </w:rPr>
              <w:t>Local &amp; Google Business Profile</w:t>
            </w:r>
          </w:p>
        </w:tc>
        <w:tc>
          <w:tcPr>
            <w:tcW w:type="dxa" w:w="1728"/>
          </w:tcPr>
          <w:p>
            <w:r>
              <w:rPr>
                <w:sz w:val="19"/>
              </w:rPr>
              <w:t>Attivare</w:t>
            </w:r>
          </w:p>
        </w:tc>
        <w:tc>
          <w:tcPr>
            <w:tcW w:type="dxa" w:w="1728"/>
          </w:tcPr>
          <w:p>
            <w:r>
              <w:rPr>
                <w:sz w:val="19"/>
              </w:rPr>
              <w:t>media</w:t>
            </w:r>
          </w:p>
        </w:tc>
        <w:tc>
          <w:tcPr>
            <w:tcW w:type="dxa" w:w="1728"/>
          </w:tcPr>
          <w:p>
            <w:r>
              <w:rPr>
                <w:sz w:val="19"/>
              </w:rPr>
              <w:t>Nessun dato strutturato di attività locale (Hotel/LocalBusiness) sul sito: aggiungere il markup e presidiare Google Business Profile (NAP, categorie, foto) per mappe e 'vicino a me'.</w:t>
            </w:r>
          </w:p>
        </w:tc>
        <w:tc>
          <w:tcPr>
            <w:tcW w:type="dxa" w:w="1728"/>
          </w:tcPr>
          <w:p>
            <w:r>
              <w:rPr>
                <w:sz w:val="19"/>
              </w:rPr>
              <w:t>—</w:t>
            </w:r>
          </w:p>
        </w:tc>
      </w:tr>
    </w:tbl>
    <w:p>
      <w:pPr>
        <w:spacing w:after="160"/>
      </w:pPr>
    </w:p>
    <w:p>
      <w:r>
        <w:t>La matrice fissa un ordine di lavoro, non un elenco di buone intenzioni: il diretto e l'organico locale vanno spinti subito perché la domanda esiste già ed è misurabile, il metasearch resta in attesa di una verifica tecnica, il B2B/MICE ha una struttura pronta ma nessun canale digitale che la intercetti, e il CRM è la leva più economica e meno rischiosa perché lavora su chi ha già scelto la struttura. L'azione di questa sezione è mettere in sequenza queste priorità, risolvendo prima le dipendenze che le bloccano.</w:t>
      </w:r>
    </w:p>
    <w:p>
      <w:pPr>
        <w:spacing w:before="160" w:after="40"/>
      </w:pPr>
      <w:r>
        <w:rPr>
          <w:b/>
          <w:color w:val="2F5D62"/>
          <w:sz w:val="24"/>
        </w:rPr>
        <w:t>Obiettivi misurabili</w:t>
      </w:r>
    </w:p>
    <w:p>
      <w:pPr>
        <w:pStyle w:val="ListBullet"/>
      </w:pPr>
      <w:r>
        <w:t>Completare l'audit di parità tariffaria diretto-vs-portali sui principali comparatori prima di attivare qualunque investimento a pagamento sul metasearch (obiettivo di processo, v. sez. 06 per i KPI numerici collegati)</w:t>
      </w:r>
    </w:p>
    <w:p>
      <w:pPr>
        <w:pStyle w:val="ListBullet"/>
      </w:pPr>
      <w:r>
        <w:t>Pubblicare un form di richiesta preventivo strutturato sulla pagina dedicata a meeting e congressi (obiettivo di processo)</w:t>
      </w:r>
    </w:p>
    <w:p>
      <w:pPr>
        <w:pStyle w:val="ListBullet"/>
      </w:pPr>
      <w:r>
        <w:t>Attivare una base di raccolta contatti post-soggiorno per la comunicazione ai clienti ricorrenti (obiettivo di processo)</w:t>
      </w:r>
    </w:p>
    <w:p>
      <w:pPr>
        <w:spacing w:before="160" w:after="40"/>
      </w:pPr>
      <w:r>
        <w:rPr>
          <w:b/>
          <w:color w:val="2F5D62"/>
          <w:sz w:val="24"/>
        </w:rPr>
        <w:t>Azioni</w:t>
      </w:r>
    </w:p>
    <w:p>
      <w:pPr>
        <w:pStyle w:val="ListBullet"/>
      </w:pPr>
      <w:r>
        <w:t>Il canale diretto va spinto ora perché la struttura può contare su una domanda non-brand consistente ancora non intercettata e su un pubblico di famiglie e coppie con alta propensione a tornare: senza un motore di prenotazione competitivo e senza contenuti di prodotto allineati a quella domanda, ogni euro speso per portare traffico al sito si disperde prima della conversione. La priorità immediata è quindi allineare le pagine di prodotto (camere, offerte, famiglia) alla domanda reale già mappata, in parallelo al lavoro sui dati strutturati trattato in altra sede.</w:t>
      </w:r>
    </w:p>
    <w:p>
      <w:pPr>
        <w:pStyle w:val="ListBullet"/>
      </w:pPr>
      <w:r>
        <w:t>Il metasearch non può essere spinto subito perché manca oggi la verifica se il prezzo esposto sul canale diretto sia competitivo rispetto a quello dei portali su questi stessi comparatori: investire prima di questa verifica rischia di finanziare traffico che si converte comunque sull'OTA. L'azione prioritaria è quindi l'audit di parità; solo a verifica conclusa il metasearch entra in matrice come canale attivo a tutti gli effetti.</w:t>
      </w:r>
    </w:p>
    <w:p>
      <w:pPr>
        <w:pStyle w:val="ListBullet"/>
      </w:pPr>
      <w:r>
        <w:t>Le OTA restano un canale gestito e non un obiettivo da ridurre a ogni costo: la clientela internazionale è ancora una quota minoritaria del mix reale e i portali generalisti restano lo strumento più efficace per intercettarla e per dare visibilità nei periodi di minore domanda diretta. L'azione qui non è di traffico ma di coerenza: schede aggiornate, risposta sistematica alle recensioni, allineamento dei contenuti con il sito ufficiale, così che il portale rafforzi la reputazione invece di consumarla.</w:t>
      </w:r>
    </w:p>
    <w:p>
      <w:pPr>
        <w:pStyle w:val="ListBullet"/>
      </w:pPr>
      <w:r>
        <w:t>Il canale B2B/MICE ha una struttura pronta a monte (sale meeting, capienza, prossimità al polo congressuale) ma nessun canale digitale che raccolga la domanda in modo strutturato: oggi il contatto passa solo per email e telefono generici, che disperdono le richieste e non lasciano traccia misurabile. L'azione è costruire un percorso di richiesta dedicato sulla pagina meeting e congressi, con campi su capienza, date e servizi, affiancato da case study quantificati che rafforzino la credibilità presso chi organizza eventi.</w:t>
      </w:r>
    </w:p>
    <w:p>
      <w:pPr>
        <w:pStyle w:val="ListBullet"/>
      </w:pPr>
      <w:r>
        <w:t>Gli assistenti conversazionali sono oggi un canale da presidiare in modo propedeutico più che da spingere con contenuti dedicati: l'audit condotto è parziale (due assistenti su tre non misurabili per un problema tecnico di accesso) e il segmento famiglia risulta assente su quello misurato, nonostante sia il pubblico più incline a usare questo tipo di ricerca. L'azione immediata è completare l'audit e, in parallelo, rafforzare i contenuti fattuali sulle pagine di prodotto più deboli in ottica di citabilità, così che quando l'audit sarà completo la struttura non parta da zero.</w:t>
      </w:r>
    </w:p>
    <w:p>
      <w:pPr>
        <w:pStyle w:val="ListBullet"/>
      </w:pPr>
      <w:r>
        <w:t>Il CRM su ospiti già acquisiti è il canale a più basso rischio e più alto ritorno perché non richiede di conquistare nuova domanda ma di trattenere quella già convertita: oggi non risulta alcun programma di raccolta contatti post-soggiorno, il che significa che ogni ospite soddisfatto viene ricontattato solo se torna a cercare la struttura da solo. L'azione è costruire la base contatti e impostare una comunicazione mirata ai ricorrenti, propedeutica a qualunque logica di fidelizzazione più strutturata.</w:t>
      </w:r>
    </w:p>
    <w:p>
      <w:pPr>
        <w:pStyle w:val="ListBullet"/>
      </w:pPr>
      <w:r>
        <w:t>I social restano un canale da mantenere e presidiare con continuità, non da rilanciare: la presenza è attiva su Instagram e Facebook ma senza un dato di performance disponibile. L'azione è allineare i contenuti pubblicati alle pagine di prodotto già esistenti sul sito (famiglia, congressi, offerte), evitando che il social racconti una struttura diversa da quella che il sito e le pagine di prodotto presentano.</w:t>
      </w:r>
    </w:p>
    <w:p>
      <w:pPr>
        <w:spacing w:before="160" w:after="40"/>
      </w:pPr>
      <w:r>
        <w:rPr>
          <w:b/>
          <w:color w:val="2F5D62"/>
          <w:sz w:val="24"/>
        </w:rPr>
        <w:t>KPI</w:t>
      </w:r>
    </w:p>
    <w:p>
      <w:r>
        <w:t>Il cruscotto numerico che governa l'esecuzione di questi canali è unico ed è raccolto in sezione 06: qui la matrice fissa solo l'ordine di intervento e le dipendenze da sciogliere prima di misurare.</w:t>
      </w:r>
    </w:p>
    <w:p>
      <w:pPr>
        <w:spacing w:before="160" w:after="40"/>
      </w:pPr>
      <w:r>
        <w:rPr>
          <w:b/>
          <w:color w:val="2F5D62"/>
          <w:sz w:val="24"/>
        </w:rPr>
        <w:t>Note esecutive</w:t>
      </w:r>
    </w:p>
    <w:p>
      <w:pPr>
        <w:pStyle w:val="ListBullet"/>
      </w:pPr>
      <w:r>
        <w:t>L'audit di parità sui comparatori tariffari è la dipendenza che sblocca il metasearch: va condotto prima di qualunque impegno di spesa su questo canale.</w:t>
      </w:r>
    </w:p>
    <w:p>
      <w:pPr>
        <w:pStyle w:val="ListBullet"/>
      </w:pPr>
      <w:r>
        <w:t>Il completamento dell'audit sugli assistenti conversazionali (oggi parziale su due strumenti) è la dipendenza che permette di valutare se investire in contenuti dedicati a quel canale o continuare a presidiarlo solo di riflesso.</w:t>
      </w:r>
    </w:p>
    <w:p>
      <w:pPr>
        <w:pStyle w:val="ListBullet"/>
      </w:pPr>
      <w:r>
        <w:t>Il form di richiesta preventivo per il segmento B2B/MICE è indipendente dalle altre dipendenze e può partire subito, poiché la struttura commerciale a monte è già pronta.</w:t>
      </w:r>
    </w:p>
    <w:p>
      <w:pPr>
        <w:pStyle w:val="ListBullet"/>
      </w:pPr>
      <w:r>
        <w:t>La sequenza corretta è: prima le dipendenze (parità, audit AI), poi l'attivazione piena dei canali che ne dipendono; i canali senza dipendenze bloccanti (diretto, organico locale, B2B/MICE, CRM) partono da subito.</w:t>
      </w:r>
    </w:p>
    <w:p>
      <w:r>
        <w:br w:type="page"/>
      </w:r>
    </w:p>
    <w:p>
      <w:pPr>
        <w:spacing w:after="0"/>
      </w:pPr>
      <w:r>
        <w:rPr>
          <w:b/>
          <w:color w:val="2F5D62"/>
          <w:sz w:val="18"/>
        </w:rPr>
        <w:t>SEZIONE 04</w:t>
      </w:r>
    </w:p>
    <w:p>
      <w:pPr>
        <w:spacing w:after="200"/>
        <w:pBdr>
          <w:bottom w:val="single" w:sz="18" w:space="6" w:color="2F5D62"/>
        </w:pBdr>
      </w:pPr>
      <w:r>
        <w:rPr>
          <w:b/>
          <w:color w:val="1A1A2E"/>
          <w:sz w:val="40"/>
        </w:rPr>
        <w:t>Distribuzione &amp; mercati</w:t>
      </w:r>
    </w:p>
    <w:p>
      <w:pPr>
        <w:spacing w:before="160" w:after="40"/>
      </w:pPr>
      <w:r>
        <w:rPr>
          <w:b/>
          <w:color w:val="2F5D62"/>
          <w:sz w:val="24"/>
        </w:rPr>
        <w:t>Mercati raggiungibili per volo diretto (decision record — connettività aerea)</w:t>
      </w:r>
    </w:p>
    <w:tbl>
      <w:tblPr>
        <w:tblStyle w:val="TableGrid"/>
        <w:tblW w:type="auto" w:w="0"/>
        <w:jc w:val="center"/>
        <w:tblLook w:firstColumn="1" w:firstRow="1" w:lastColumn="0" w:lastRow="0" w:noHBand="0" w:noVBand="1" w:val="04A0"/>
      </w:tblPr>
      <w:tblGrid>
        <w:gridCol w:w="1440"/>
        <w:gridCol w:w="1440"/>
        <w:gridCol w:w="1440"/>
        <w:gridCol w:w="1440"/>
        <w:gridCol w:w="1440"/>
        <w:gridCol w:w="1440"/>
      </w:tblGrid>
      <w:tr>
        <w:trPr>
          <w:tblHeader w:val="true"/>
        </w:trPr>
        <w:tc>
          <w:tcPr>
            <w:tcW w:type="dxa" w:w="1440"/>
            <w:shd w:val="clear" w:color="auto" w:fill="2F5D62"/>
          </w:tcPr>
          <w:p>
            <w:r>
              <w:rPr>
                <w:b/>
                <w:color w:val="FFFFFF"/>
                <w:sz w:val="19"/>
              </w:rPr>
              <w:t>Mercato</w:t>
            </w:r>
          </w:p>
        </w:tc>
        <w:tc>
          <w:tcPr>
            <w:tcW w:type="dxa" w:w="1440"/>
            <w:shd w:val="clear" w:color="auto" w:fill="2F5D62"/>
          </w:tcPr>
          <w:p>
            <w:r>
              <w:rPr>
                <w:b/>
                <w:color w:val="FFFFFF"/>
                <w:sz w:val="19"/>
              </w:rPr>
              <w:t>Lingua</w:t>
            </w:r>
          </w:p>
        </w:tc>
        <w:tc>
          <w:tcPr>
            <w:tcW w:type="dxa" w:w="1440"/>
            <w:shd w:val="clear" w:color="auto" w:fill="2F5D62"/>
          </w:tcPr>
          <w:p>
            <w:r>
              <w:rPr>
                <w:b/>
                <w:color w:val="FFFFFF"/>
                <w:sz w:val="19"/>
              </w:rPr>
              <w:t>Stagionalità</w:t>
            </w:r>
          </w:p>
        </w:tc>
        <w:tc>
          <w:tcPr>
            <w:tcW w:type="dxa" w:w="1440"/>
            <w:shd w:val="clear" w:color="auto" w:fill="2F5D62"/>
          </w:tcPr>
          <w:p>
            <w:r>
              <w:rPr>
                <w:b/>
                <w:color w:val="FFFFFF"/>
                <w:sz w:val="19"/>
              </w:rPr>
              <w:t>Frequenza</w:t>
            </w:r>
          </w:p>
        </w:tc>
        <w:tc>
          <w:tcPr>
            <w:tcW w:type="dxa" w:w="1440"/>
            <w:shd w:val="clear" w:color="auto" w:fill="2F5D62"/>
          </w:tcPr>
          <w:p>
            <w:r>
              <w:rPr>
                <w:b/>
                <w:color w:val="FFFFFF"/>
                <w:sz w:val="19"/>
              </w:rPr>
              <w:t>Voli/mese</w:t>
            </w:r>
          </w:p>
        </w:tc>
        <w:tc>
          <w:tcPr>
            <w:tcW w:type="dxa" w:w="1440"/>
            <w:shd w:val="clear" w:color="auto" w:fill="2F5D62"/>
          </w:tcPr>
          <w:p>
            <w:r>
              <w:rPr>
                <w:b/>
                <w:color w:val="FFFFFF"/>
                <w:sz w:val="19"/>
              </w:rPr>
              <w:t>Prova (città · compagnia)</w:t>
            </w:r>
          </w:p>
        </w:tc>
      </w:tr>
      <w:tr>
        <w:tc>
          <w:tcPr>
            <w:tcW w:type="dxa" w:w="1440"/>
          </w:tcPr>
          <w:p>
            <w:r>
              <w:rPr>
                <w:sz w:val="19"/>
              </w:rPr>
              <w:t>United Kingdom (opportunità)</w:t>
            </w:r>
          </w:p>
        </w:tc>
        <w:tc>
          <w:tcPr>
            <w:tcW w:type="dxa" w:w="1440"/>
          </w:tcPr>
          <w:p>
            <w:r>
              <w:rPr>
                <w:sz w:val="19"/>
              </w:rPr>
              <w:t>inglese</w:t>
            </w:r>
          </w:p>
        </w:tc>
        <w:tc>
          <w:tcPr>
            <w:tcW w:type="dxa" w:w="1440"/>
          </w:tcPr>
          <w:p>
            <w:r>
              <w:rPr>
                <w:sz w:val="19"/>
              </w:rPr>
              <w:t>Prevalentemente stagionale (luglio→ottobre)</w:t>
            </w:r>
          </w:p>
        </w:tc>
        <w:tc>
          <w:tcPr>
            <w:tcW w:type="dxa" w:w="1440"/>
          </w:tcPr>
          <w:p>
            <w:r>
              <w:rPr>
                <w:sz w:val="19"/>
              </w:rPr>
              <w:t>giornaliero</w:t>
            </w:r>
          </w:p>
        </w:tc>
        <w:tc>
          <w:tcPr>
            <w:tcW w:type="dxa" w:w="1440"/>
          </w:tcPr>
          <w:p>
            <w:r>
              <w:rPr>
                <w:sz w:val="19"/>
              </w:rPr>
              <w:t>99</w:t>
            </w:r>
          </w:p>
        </w:tc>
        <w:tc>
          <w:tcPr>
            <w:tcW w:type="dxa" w:w="1440"/>
          </w:tcPr>
          <w:p>
            <w:r>
              <w:rPr>
                <w:sz w:val="19"/>
              </w:rPr>
              <w:t>London Stansted · Ryanair (68/mese); London Heathrow · British Airways (13/mese)</w:t>
            </w:r>
          </w:p>
        </w:tc>
      </w:tr>
      <w:tr>
        <w:tc>
          <w:tcPr>
            <w:tcW w:type="dxa" w:w="1440"/>
            <w:shd w:val="clear" w:color="auto" w:fill="EEF2F1"/>
          </w:tcPr>
          <w:p>
            <w:r>
              <w:rPr>
                <w:sz w:val="19"/>
              </w:rPr>
              <w:t>Poland (opportunità)</w:t>
            </w:r>
          </w:p>
        </w:tc>
        <w:tc>
          <w:tcPr>
            <w:tcW w:type="dxa" w:w="1440"/>
            <w:shd w:val="clear" w:color="auto" w:fill="EEF2F1"/>
          </w:tcPr>
          <w:p>
            <w:r>
              <w:rPr>
                <w:sz w:val="19"/>
              </w:rPr>
              <w:t>polacco</w:t>
            </w:r>
          </w:p>
        </w:tc>
        <w:tc>
          <w:tcPr>
            <w:tcW w:type="dxa" w:w="1440"/>
            <w:shd w:val="clear" w:color="auto" w:fill="EEF2F1"/>
          </w:tcPr>
          <w:p>
            <w:r>
              <w:rPr>
                <w:sz w:val="19"/>
              </w:rPr>
              <w:t>Prevalentemente stagionale (luglio→ottobre)</w:t>
            </w:r>
          </w:p>
        </w:tc>
        <w:tc>
          <w:tcPr>
            <w:tcW w:type="dxa" w:w="1440"/>
            <w:shd w:val="clear" w:color="auto" w:fill="EEF2F1"/>
          </w:tcPr>
          <w:p>
            <w:r>
              <w:rPr>
                <w:sz w:val="19"/>
              </w:rPr>
              <w:t>giornaliero</w:t>
            </w:r>
          </w:p>
        </w:tc>
        <w:tc>
          <w:tcPr>
            <w:tcW w:type="dxa" w:w="1440"/>
            <w:shd w:val="clear" w:color="auto" w:fill="EEF2F1"/>
          </w:tcPr>
          <w:p>
            <w:r>
              <w:rPr>
                <w:sz w:val="19"/>
              </w:rPr>
              <w:t>79</w:t>
            </w:r>
          </w:p>
        </w:tc>
        <w:tc>
          <w:tcPr>
            <w:tcW w:type="dxa" w:w="1440"/>
            <w:shd w:val="clear" w:color="auto" w:fill="EEF2F1"/>
          </w:tcPr>
          <w:p>
            <w:r>
              <w:rPr>
                <w:sz w:val="19"/>
              </w:rPr>
              <w:t>Krakow · Ryanair (41/mese); Warsaw · Wizz Air (18/mese)</w:t>
            </w:r>
          </w:p>
        </w:tc>
      </w:tr>
      <w:tr>
        <w:tc>
          <w:tcPr>
            <w:tcW w:type="dxa" w:w="1440"/>
          </w:tcPr>
          <w:p>
            <w:r>
              <w:rPr>
                <w:sz w:val="19"/>
              </w:rPr>
              <w:t>Germany</w:t>
            </w:r>
          </w:p>
        </w:tc>
        <w:tc>
          <w:tcPr>
            <w:tcW w:type="dxa" w:w="1440"/>
          </w:tcPr>
          <w:p>
            <w:r>
              <w:rPr>
                <w:sz w:val="19"/>
              </w:rPr>
              <w:t>tedesco</w:t>
            </w:r>
          </w:p>
        </w:tc>
        <w:tc>
          <w:tcPr>
            <w:tcW w:type="dxa" w:w="1440"/>
          </w:tcPr>
          <w:p>
            <w:r>
              <w:rPr>
                <w:sz w:val="19"/>
              </w:rPr>
              <w:t>Prevalentemente stagionale (luglio→ottobre)</w:t>
            </w:r>
          </w:p>
        </w:tc>
        <w:tc>
          <w:tcPr>
            <w:tcW w:type="dxa" w:w="1440"/>
          </w:tcPr>
          <w:p>
            <w:r>
              <w:rPr>
                <w:sz w:val="19"/>
              </w:rPr>
              <w:t>giornaliero</w:t>
            </w:r>
          </w:p>
        </w:tc>
        <w:tc>
          <w:tcPr>
            <w:tcW w:type="dxa" w:w="1440"/>
          </w:tcPr>
          <w:p>
            <w:r>
              <w:rPr>
                <w:sz w:val="19"/>
              </w:rPr>
              <w:t>48</w:t>
            </w:r>
          </w:p>
        </w:tc>
        <w:tc>
          <w:tcPr>
            <w:tcW w:type="dxa" w:w="1440"/>
          </w:tcPr>
          <w:p>
            <w:r>
              <w:rPr>
                <w:sz w:val="19"/>
              </w:rPr>
              <w:t>Munich · Air Dolomiti (26/mese); Cologne-Bonn · Ryanair (13/mese)</w:t>
            </w:r>
          </w:p>
        </w:tc>
      </w:tr>
      <w:tr>
        <w:tc>
          <w:tcPr>
            <w:tcW w:type="dxa" w:w="1440"/>
            <w:shd w:val="clear" w:color="auto" w:fill="EEF2F1"/>
          </w:tcPr>
          <w:p>
            <w:r>
              <w:rPr>
                <w:sz w:val="19"/>
              </w:rPr>
              <w:t>Albania (opportunità)</w:t>
            </w:r>
          </w:p>
        </w:tc>
        <w:tc>
          <w:tcPr>
            <w:tcW w:type="dxa" w:w="1440"/>
            <w:shd w:val="clear" w:color="auto" w:fill="EEF2F1"/>
          </w:tcPr>
          <w:p>
            <w:r>
              <w:rPr>
                <w:sz w:val="19"/>
              </w:rPr>
              <w:t>albanese</w:t>
            </w:r>
          </w:p>
        </w:tc>
        <w:tc>
          <w:tcPr>
            <w:tcW w:type="dxa" w:w="1440"/>
            <w:shd w:val="clear" w:color="auto" w:fill="EEF2F1"/>
          </w:tcPr>
          <w:p>
            <w:r>
              <w:rPr>
                <w:sz w:val="19"/>
              </w:rPr>
              <w:t>Prevalentemente stagionale (luglio→ottobre)</w:t>
            </w:r>
          </w:p>
        </w:tc>
        <w:tc>
          <w:tcPr>
            <w:tcW w:type="dxa" w:w="1440"/>
            <w:shd w:val="clear" w:color="auto" w:fill="EEF2F1"/>
          </w:tcPr>
          <w:p>
            <w:r>
              <w:rPr>
                <w:sz w:val="19"/>
              </w:rPr>
              <w:t>giornaliero</w:t>
            </w:r>
          </w:p>
        </w:tc>
        <w:tc>
          <w:tcPr>
            <w:tcW w:type="dxa" w:w="1440"/>
            <w:shd w:val="clear" w:color="auto" w:fill="EEF2F1"/>
          </w:tcPr>
          <w:p>
            <w:r>
              <w:rPr>
                <w:sz w:val="19"/>
              </w:rPr>
              <w:t>45</w:t>
            </w:r>
          </w:p>
        </w:tc>
        <w:tc>
          <w:tcPr>
            <w:tcW w:type="dxa" w:w="1440"/>
            <w:shd w:val="clear" w:color="auto" w:fill="EEF2F1"/>
          </w:tcPr>
          <w:p>
            <w:r>
              <w:rPr>
                <w:sz w:val="19"/>
              </w:rPr>
              <w:t>Tirana · Wizz Air Malta (45/mese)</w:t>
            </w:r>
          </w:p>
        </w:tc>
      </w:tr>
      <w:tr>
        <w:tc>
          <w:tcPr>
            <w:tcW w:type="dxa" w:w="1440"/>
          </w:tcPr>
          <w:p>
            <w:r>
              <w:rPr>
                <w:sz w:val="19"/>
              </w:rPr>
              <w:t>Hungary (opportunità)</w:t>
            </w:r>
          </w:p>
        </w:tc>
        <w:tc>
          <w:tcPr>
            <w:tcW w:type="dxa" w:w="1440"/>
          </w:tcPr>
          <w:p>
            <w:r>
              <w:rPr>
                <w:sz w:val="19"/>
              </w:rPr>
              <w:t>ungherese</w:t>
            </w:r>
          </w:p>
        </w:tc>
        <w:tc>
          <w:tcPr>
            <w:tcW w:type="dxa" w:w="1440"/>
          </w:tcPr>
          <w:p>
            <w:r>
              <w:rPr>
                <w:sz w:val="19"/>
              </w:rPr>
              <w:t>Prevalentemente stagionale (luglio→ottobre)</w:t>
            </w:r>
          </w:p>
        </w:tc>
        <w:tc>
          <w:tcPr>
            <w:tcW w:type="dxa" w:w="1440"/>
          </w:tcPr>
          <w:p>
            <w:r>
              <w:rPr>
                <w:sz w:val="19"/>
              </w:rPr>
              <w:t>giornaliero</w:t>
            </w:r>
          </w:p>
        </w:tc>
        <w:tc>
          <w:tcPr>
            <w:tcW w:type="dxa" w:w="1440"/>
          </w:tcPr>
          <w:p>
            <w:r>
              <w:rPr>
                <w:sz w:val="19"/>
              </w:rPr>
              <w:t>35</w:t>
            </w:r>
          </w:p>
        </w:tc>
        <w:tc>
          <w:tcPr>
            <w:tcW w:type="dxa" w:w="1440"/>
          </w:tcPr>
          <w:p>
            <w:r>
              <w:rPr>
                <w:sz w:val="19"/>
              </w:rPr>
              <w:t>Budapest · Ryanair (35/mese)</w:t>
            </w:r>
          </w:p>
        </w:tc>
      </w:tr>
      <w:tr>
        <w:tc>
          <w:tcPr>
            <w:tcW w:type="dxa" w:w="1440"/>
            <w:shd w:val="clear" w:color="auto" w:fill="EEF2F1"/>
          </w:tcPr>
          <w:p>
            <w:r>
              <w:rPr>
                <w:sz w:val="19"/>
              </w:rPr>
              <w:t>Belgium (opportunità)</w:t>
            </w:r>
          </w:p>
        </w:tc>
        <w:tc>
          <w:tcPr>
            <w:tcW w:type="dxa" w:w="1440"/>
            <w:shd w:val="clear" w:color="auto" w:fill="EEF2F1"/>
          </w:tcPr>
          <w:p>
            <w:r>
              <w:rPr>
                <w:sz w:val="19"/>
              </w:rPr>
              <w:t>olandese, francese</w:t>
            </w:r>
          </w:p>
        </w:tc>
        <w:tc>
          <w:tcPr>
            <w:tcW w:type="dxa" w:w="1440"/>
            <w:shd w:val="clear" w:color="auto" w:fill="EEF2F1"/>
          </w:tcPr>
          <w:p>
            <w:r>
              <w:rPr>
                <w:sz w:val="19"/>
              </w:rPr>
              <w:t>Tutto l'anno</w:t>
            </w:r>
          </w:p>
        </w:tc>
        <w:tc>
          <w:tcPr>
            <w:tcW w:type="dxa" w:w="1440"/>
            <w:shd w:val="clear" w:color="auto" w:fill="EEF2F1"/>
          </w:tcPr>
          <w:p>
            <w:r>
              <w:rPr>
                <w:sz w:val="19"/>
              </w:rPr>
              <w:t>più volte a settimana</w:t>
            </w:r>
          </w:p>
        </w:tc>
        <w:tc>
          <w:tcPr>
            <w:tcW w:type="dxa" w:w="1440"/>
            <w:shd w:val="clear" w:color="auto" w:fill="EEF2F1"/>
          </w:tcPr>
          <w:p>
            <w:r>
              <w:rPr>
                <w:sz w:val="19"/>
              </w:rPr>
              <w:t>23</w:t>
            </w:r>
          </w:p>
        </w:tc>
        <w:tc>
          <w:tcPr>
            <w:tcW w:type="dxa" w:w="1440"/>
            <w:shd w:val="clear" w:color="auto" w:fill="EEF2F1"/>
          </w:tcPr>
          <w:p>
            <w:r>
              <w:rPr>
                <w:sz w:val="19"/>
              </w:rPr>
              <w:t>Brussels Charleroi (23/mese)</w:t>
            </w:r>
          </w:p>
        </w:tc>
      </w:tr>
      <w:tr>
        <w:tc>
          <w:tcPr>
            <w:tcW w:type="dxa" w:w="1440"/>
          </w:tcPr>
          <w:p>
            <w:r>
              <w:rPr>
                <w:sz w:val="19"/>
              </w:rPr>
              <w:t>France (opportunità)</w:t>
            </w:r>
          </w:p>
        </w:tc>
        <w:tc>
          <w:tcPr>
            <w:tcW w:type="dxa" w:w="1440"/>
          </w:tcPr>
          <w:p>
            <w:r>
              <w:rPr>
                <w:sz w:val="19"/>
              </w:rPr>
              <w:t>francese</w:t>
            </w:r>
          </w:p>
        </w:tc>
        <w:tc>
          <w:tcPr>
            <w:tcW w:type="dxa" w:w="1440"/>
          </w:tcPr>
          <w:p>
            <w:r>
              <w:rPr>
                <w:sz w:val="19"/>
              </w:rPr>
              <w:t>Prevalentemente stagionale (luglio→ottobre)</w:t>
            </w:r>
          </w:p>
        </w:tc>
        <w:tc>
          <w:tcPr>
            <w:tcW w:type="dxa" w:w="1440"/>
          </w:tcPr>
          <w:p>
            <w:r>
              <w:rPr>
                <w:sz w:val="19"/>
              </w:rPr>
              <w:t>più volte a settimana</w:t>
            </w:r>
          </w:p>
        </w:tc>
        <w:tc>
          <w:tcPr>
            <w:tcW w:type="dxa" w:w="1440"/>
          </w:tcPr>
          <w:p>
            <w:r>
              <w:rPr>
                <w:sz w:val="19"/>
              </w:rPr>
              <w:t>18</w:t>
            </w:r>
          </w:p>
        </w:tc>
        <w:tc>
          <w:tcPr>
            <w:tcW w:type="dxa" w:w="1440"/>
          </w:tcPr>
          <w:p>
            <w:r>
              <w:rPr>
                <w:sz w:val="19"/>
              </w:rPr>
              <w:t>Basel Mulhouse Freiburg · easyJet (9/mese); Paris (Orly) (9/mese)</w:t>
            </w:r>
          </w:p>
        </w:tc>
      </w:tr>
      <w:tr>
        <w:tc>
          <w:tcPr>
            <w:tcW w:type="dxa" w:w="1440"/>
            <w:shd w:val="clear" w:color="auto" w:fill="EEF2F1"/>
          </w:tcPr>
          <w:p>
            <w:r>
              <w:rPr>
                <w:sz w:val="19"/>
              </w:rPr>
              <w:t>Bulgaria (opportunità)</w:t>
            </w:r>
          </w:p>
        </w:tc>
        <w:tc>
          <w:tcPr>
            <w:tcW w:type="dxa" w:w="1440"/>
            <w:shd w:val="clear" w:color="auto" w:fill="EEF2F1"/>
          </w:tcPr>
          <w:p>
            <w:r>
              <w:rPr>
                <w:sz w:val="19"/>
              </w:rPr>
              <w:t>bulgaro</w:t>
            </w:r>
          </w:p>
        </w:tc>
        <w:tc>
          <w:tcPr>
            <w:tcW w:type="dxa" w:w="1440"/>
            <w:shd w:val="clear" w:color="auto" w:fill="EEF2F1"/>
          </w:tcPr>
          <w:p>
            <w:r>
              <w:rPr>
                <w:sz w:val="19"/>
              </w:rPr>
              <w:t>Prevalentemente stagionale (luglio→ottobre)</w:t>
            </w:r>
          </w:p>
        </w:tc>
        <w:tc>
          <w:tcPr>
            <w:tcW w:type="dxa" w:w="1440"/>
            <w:shd w:val="clear" w:color="auto" w:fill="EEF2F1"/>
          </w:tcPr>
          <w:p>
            <w:r>
              <w:rPr>
                <w:sz w:val="19"/>
              </w:rPr>
              <w:t>più volte a settimana</w:t>
            </w:r>
          </w:p>
        </w:tc>
        <w:tc>
          <w:tcPr>
            <w:tcW w:type="dxa" w:w="1440"/>
            <w:shd w:val="clear" w:color="auto" w:fill="EEF2F1"/>
          </w:tcPr>
          <w:p>
            <w:r>
              <w:rPr>
                <w:sz w:val="19"/>
              </w:rPr>
              <w:t>17</w:t>
            </w:r>
          </w:p>
        </w:tc>
        <w:tc>
          <w:tcPr>
            <w:tcW w:type="dxa" w:w="1440"/>
            <w:shd w:val="clear" w:color="auto" w:fill="EEF2F1"/>
          </w:tcPr>
          <w:p>
            <w:r>
              <w:rPr>
                <w:sz w:val="19"/>
              </w:rPr>
              <w:t>Sofia · Wizz Air (17/mese)</w:t>
            </w:r>
          </w:p>
        </w:tc>
      </w:tr>
      <w:tr>
        <w:tc>
          <w:tcPr>
            <w:tcW w:type="dxa" w:w="1440"/>
          </w:tcPr>
          <w:p>
            <w:r>
              <w:rPr>
                <w:sz w:val="19"/>
              </w:rPr>
              <w:t>Lithuania (opportunità)</w:t>
            </w:r>
          </w:p>
        </w:tc>
        <w:tc>
          <w:tcPr>
            <w:tcW w:type="dxa" w:w="1440"/>
          </w:tcPr>
          <w:p>
            <w:r>
              <w:rPr>
                <w:sz w:val="19"/>
              </w:rPr>
              <w:t>lituano</w:t>
            </w:r>
          </w:p>
        </w:tc>
        <w:tc>
          <w:tcPr>
            <w:tcW w:type="dxa" w:w="1440"/>
          </w:tcPr>
          <w:p>
            <w:r>
              <w:rPr>
                <w:sz w:val="19"/>
              </w:rPr>
              <w:t>Prevalentemente stagionale (luglio→ottobre)</w:t>
            </w:r>
          </w:p>
        </w:tc>
        <w:tc>
          <w:tcPr>
            <w:tcW w:type="dxa" w:w="1440"/>
          </w:tcPr>
          <w:p>
            <w:r>
              <w:rPr>
                <w:sz w:val="19"/>
              </w:rPr>
              <w:t>più volte a settimana</w:t>
            </w:r>
          </w:p>
        </w:tc>
        <w:tc>
          <w:tcPr>
            <w:tcW w:type="dxa" w:w="1440"/>
          </w:tcPr>
          <w:p>
            <w:r>
              <w:rPr>
                <w:sz w:val="19"/>
              </w:rPr>
              <w:t>17</w:t>
            </w:r>
          </w:p>
        </w:tc>
        <w:tc>
          <w:tcPr>
            <w:tcW w:type="dxa" w:w="1440"/>
          </w:tcPr>
          <w:p>
            <w:r>
              <w:rPr>
                <w:sz w:val="19"/>
              </w:rPr>
              <w:t>Kaunas · Ryanair (17/mese)</w:t>
            </w:r>
          </w:p>
        </w:tc>
      </w:tr>
      <w:tr>
        <w:tc>
          <w:tcPr>
            <w:tcW w:type="dxa" w:w="1440"/>
            <w:shd w:val="clear" w:color="auto" w:fill="EEF2F1"/>
          </w:tcPr>
          <w:p>
            <w:r>
              <w:rPr>
                <w:sz w:val="19"/>
              </w:rPr>
              <w:t>Luxembourg</w:t>
            </w:r>
          </w:p>
        </w:tc>
        <w:tc>
          <w:tcPr>
            <w:tcW w:type="dxa" w:w="1440"/>
            <w:shd w:val="clear" w:color="auto" w:fill="EEF2F1"/>
          </w:tcPr>
          <w:p>
            <w:r>
              <w:rPr>
                <w:sz w:val="19"/>
              </w:rPr>
              <w:t>francese, tedesco, lussemburghese</w:t>
            </w:r>
          </w:p>
        </w:tc>
        <w:tc>
          <w:tcPr>
            <w:tcW w:type="dxa" w:w="1440"/>
            <w:shd w:val="clear" w:color="auto" w:fill="EEF2F1"/>
          </w:tcPr>
          <w:p>
            <w:r>
              <w:rPr>
                <w:sz w:val="19"/>
              </w:rPr>
              <w:t>Prevalentemente stagionale (luglio→settembre)</w:t>
            </w:r>
          </w:p>
        </w:tc>
        <w:tc>
          <w:tcPr>
            <w:tcW w:type="dxa" w:w="1440"/>
            <w:shd w:val="clear" w:color="auto" w:fill="EEF2F1"/>
          </w:tcPr>
          <w:p>
            <w:r>
              <w:rPr>
                <w:sz w:val="19"/>
              </w:rPr>
              <w:t>più volte a settimana</w:t>
            </w:r>
          </w:p>
        </w:tc>
        <w:tc>
          <w:tcPr>
            <w:tcW w:type="dxa" w:w="1440"/>
            <w:shd w:val="clear" w:color="auto" w:fill="EEF2F1"/>
          </w:tcPr>
          <w:p>
            <w:r>
              <w:rPr>
                <w:sz w:val="19"/>
              </w:rPr>
              <w:t>13</w:t>
            </w:r>
          </w:p>
        </w:tc>
        <w:tc>
          <w:tcPr>
            <w:tcW w:type="dxa" w:w="1440"/>
            <w:shd w:val="clear" w:color="auto" w:fill="EEF2F1"/>
          </w:tcPr>
          <w:p>
            <w:r>
              <w:rPr>
                <w:sz w:val="19"/>
              </w:rPr>
              <w:t>Luxembourg City · Luxair (13/mese)</w:t>
            </w:r>
          </w:p>
        </w:tc>
      </w:tr>
      <w:tr>
        <w:tc>
          <w:tcPr>
            <w:tcW w:type="dxa" w:w="1440"/>
          </w:tcPr>
          <w:p>
            <w:r>
              <w:rPr>
                <w:sz w:val="19"/>
              </w:rPr>
              <w:t>Austria</w:t>
            </w:r>
          </w:p>
        </w:tc>
        <w:tc>
          <w:tcPr>
            <w:tcW w:type="dxa" w:w="1440"/>
          </w:tcPr>
          <w:p>
            <w:r>
              <w:rPr>
                <w:sz w:val="19"/>
              </w:rPr>
              <w:t>tedesco</w:t>
            </w:r>
          </w:p>
        </w:tc>
        <w:tc>
          <w:tcPr>
            <w:tcW w:type="dxa" w:w="1440"/>
          </w:tcPr>
          <w:p>
            <w:r>
              <w:rPr>
                <w:sz w:val="19"/>
              </w:rPr>
              <w:t>Prevalentemente stagionale (luglio→agosto)</w:t>
            </w:r>
          </w:p>
        </w:tc>
        <w:tc>
          <w:tcPr>
            <w:tcW w:type="dxa" w:w="1440"/>
          </w:tcPr>
          <w:p>
            <w:r>
              <w:rPr>
                <w:sz w:val="19"/>
              </w:rPr>
              <w:t>più volte a settimana</w:t>
            </w:r>
          </w:p>
        </w:tc>
        <w:tc>
          <w:tcPr>
            <w:tcW w:type="dxa" w:w="1440"/>
          </w:tcPr>
          <w:p>
            <w:r>
              <w:rPr>
                <w:sz w:val="19"/>
              </w:rPr>
              <w:t>12</w:t>
            </w:r>
          </w:p>
        </w:tc>
        <w:tc>
          <w:tcPr>
            <w:tcW w:type="dxa" w:w="1440"/>
          </w:tcPr>
          <w:p>
            <w:r>
              <w:rPr>
                <w:sz w:val="19"/>
              </w:rPr>
              <w:t>Vienna · Ryanair (12/mese)</w:t>
            </w:r>
          </w:p>
        </w:tc>
      </w:tr>
      <w:tr>
        <w:tc>
          <w:tcPr>
            <w:tcW w:type="dxa" w:w="1440"/>
            <w:shd w:val="clear" w:color="auto" w:fill="EEF2F1"/>
          </w:tcPr>
          <w:p>
            <w:r>
              <w:rPr>
                <w:sz w:val="19"/>
              </w:rPr>
              <w:t>Spain (opportunità)</w:t>
            </w:r>
          </w:p>
        </w:tc>
        <w:tc>
          <w:tcPr>
            <w:tcW w:type="dxa" w:w="1440"/>
            <w:shd w:val="clear" w:color="auto" w:fill="EEF2F1"/>
          </w:tcPr>
          <w:p>
            <w:r>
              <w:rPr>
                <w:sz w:val="19"/>
              </w:rPr>
              <w:t>spagnolo</w:t>
            </w:r>
          </w:p>
        </w:tc>
        <w:tc>
          <w:tcPr>
            <w:tcW w:type="dxa" w:w="1440"/>
            <w:shd w:val="clear" w:color="auto" w:fill="EEF2F1"/>
          </w:tcPr>
          <w:p>
            <w:r>
              <w:rPr>
                <w:sz w:val="19"/>
              </w:rPr>
              <w:t>Prevalentemente stagionale</w:t>
            </w:r>
          </w:p>
        </w:tc>
        <w:tc>
          <w:tcPr>
            <w:tcW w:type="dxa" w:w="1440"/>
            <w:shd w:val="clear" w:color="auto" w:fill="EEF2F1"/>
          </w:tcPr>
          <w:p>
            <w:r>
              <w:rPr>
                <w:sz w:val="19"/>
              </w:rPr>
              <w:t>più volte a settimana</w:t>
            </w:r>
          </w:p>
        </w:tc>
        <w:tc>
          <w:tcPr>
            <w:tcW w:type="dxa" w:w="1440"/>
            <w:shd w:val="clear" w:color="auto" w:fill="EEF2F1"/>
          </w:tcPr>
          <w:p>
            <w:r>
              <w:rPr>
                <w:sz w:val="19"/>
              </w:rPr>
              <w:t>9</w:t>
            </w:r>
          </w:p>
        </w:tc>
        <w:tc>
          <w:tcPr>
            <w:tcW w:type="dxa" w:w="1440"/>
            <w:shd w:val="clear" w:color="auto" w:fill="EEF2F1"/>
          </w:tcPr>
          <w:p>
            <w:r>
              <w:rPr>
                <w:sz w:val="19"/>
              </w:rPr>
              <w:t>Barcelona (9/mese)</w:t>
            </w:r>
          </w:p>
        </w:tc>
      </w:tr>
      <w:tr>
        <w:tc>
          <w:tcPr>
            <w:tcW w:type="dxa" w:w="1440"/>
          </w:tcPr>
          <w:p>
            <w:r>
              <w:rPr>
                <w:sz w:val="19"/>
              </w:rPr>
              <w:t>Czechia (opportunità)</w:t>
            </w:r>
          </w:p>
        </w:tc>
        <w:tc>
          <w:tcPr>
            <w:tcW w:type="dxa" w:w="1440"/>
          </w:tcPr>
          <w:p>
            <w:r>
              <w:rPr>
                <w:sz w:val="19"/>
              </w:rPr>
              <w:t>ceco</w:t>
            </w:r>
          </w:p>
        </w:tc>
        <w:tc>
          <w:tcPr>
            <w:tcW w:type="dxa" w:w="1440"/>
          </w:tcPr>
          <w:p>
            <w:r>
              <w:rPr>
                <w:sz w:val="19"/>
              </w:rPr>
              <w:t>Prevalentemente stagionale (luglio→ottobre)</w:t>
            </w:r>
          </w:p>
        </w:tc>
        <w:tc>
          <w:tcPr>
            <w:tcW w:type="dxa" w:w="1440"/>
          </w:tcPr>
          <w:p>
            <w:r>
              <w:rPr>
                <w:sz w:val="19"/>
              </w:rPr>
              <w:t>più volte a settimana</w:t>
            </w:r>
          </w:p>
        </w:tc>
        <w:tc>
          <w:tcPr>
            <w:tcW w:type="dxa" w:w="1440"/>
          </w:tcPr>
          <w:p>
            <w:r>
              <w:rPr>
                <w:sz w:val="19"/>
              </w:rPr>
              <w:t>8</w:t>
            </w:r>
          </w:p>
        </w:tc>
        <w:tc>
          <w:tcPr>
            <w:tcW w:type="dxa" w:w="1440"/>
          </w:tcPr>
          <w:p>
            <w:r>
              <w:rPr>
                <w:sz w:val="19"/>
              </w:rPr>
              <w:t>Prague · Ryanair (8/mese)</w:t>
            </w:r>
          </w:p>
        </w:tc>
      </w:tr>
      <w:tr>
        <w:tc>
          <w:tcPr>
            <w:tcW w:type="dxa" w:w="1440"/>
            <w:shd w:val="clear" w:color="auto" w:fill="EEF2F1"/>
          </w:tcPr>
          <w:p>
            <w:r>
              <w:rPr>
                <w:sz w:val="19"/>
              </w:rPr>
              <w:t>Moldova (opportunità)</w:t>
            </w:r>
          </w:p>
        </w:tc>
        <w:tc>
          <w:tcPr>
            <w:tcW w:type="dxa" w:w="1440"/>
            <w:shd w:val="clear" w:color="auto" w:fill="EEF2F1"/>
          </w:tcPr>
          <w:p>
            <w:r>
              <w:rPr>
                <w:sz w:val="19"/>
              </w:rPr>
              <w:t>rumeno, russo</w:t>
            </w:r>
          </w:p>
        </w:tc>
        <w:tc>
          <w:tcPr>
            <w:tcW w:type="dxa" w:w="1440"/>
            <w:shd w:val="clear" w:color="auto" w:fill="EEF2F1"/>
          </w:tcPr>
          <w:p>
            <w:r>
              <w:rPr>
                <w:sz w:val="19"/>
              </w:rPr>
              <w:t>Prevalentemente stagionale (luglio→settembre)</w:t>
            </w:r>
          </w:p>
        </w:tc>
        <w:tc>
          <w:tcPr>
            <w:tcW w:type="dxa" w:w="1440"/>
            <w:shd w:val="clear" w:color="auto" w:fill="EEF2F1"/>
          </w:tcPr>
          <w:p>
            <w:r>
              <w:rPr>
                <w:sz w:val="19"/>
              </w:rPr>
              <w:t>più volte a settimana</w:t>
            </w:r>
          </w:p>
        </w:tc>
        <w:tc>
          <w:tcPr>
            <w:tcW w:type="dxa" w:w="1440"/>
            <w:shd w:val="clear" w:color="auto" w:fill="EEF2F1"/>
          </w:tcPr>
          <w:p>
            <w:r>
              <w:rPr>
                <w:sz w:val="19"/>
              </w:rPr>
              <w:t>8</w:t>
            </w:r>
          </w:p>
        </w:tc>
        <w:tc>
          <w:tcPr>
            <w:tcW w:type="dxa" w:w="1440"/>
            <w:shd w:val="clear" w:color="auto" w:fill="EEF2F1"/>
          </w:tcPr>
          <w:p>
            <w:r>
              <w:rPr>
                <w:sz w:val="19"/>
              </w:rPr>
              <w:t>Chișinău · Wizz Air Malta (8/mese)</w:t>
            </w:r>
          </w:p>
        </w:tc>
      </w:tr>
    </w:tbl>
    <w:p>
      <w:pPr>
        <w:spacing w:after="160"/>
      </w:pPr>
    </w:p>
    <w:p>
      <w:r>
        <w:t>Come leggerla: L'origine del volo è un proxy della lingua/mercato, non della nazionalità dei passeggeri. Solo rotte di linea dirette (non presenze reali né voli con scalo). La stagionalità riflette lo snapshot degli orari: affidabile sui collegamenti stagionali dedicati, da confermare sui grandi hub.</w:t>
      </w:r>
    </w:p>
    <w:p>
      <w:r>
        <w:t>Il mix ospiti reale è dichiaratamente italiano (84,8% delle recensioni Booking), con un tedesco presente ma minoritario (5,1%) e un inglese ancora più marginale (3,7%): non c'è qui una base estera da 'rilanciare', ma una domanda domestica da consolidare e una manciata di mercati esteri da testare con metodo, non da inseguire con investimenti pesanti. La connettività aerea aggiunge un tassello utile: Regno Unito, Polonia, Albania, Ungheria, Belgio, Francia e Bulgaria hanno collegamenti diretti verso l'aeroporto di riferimento, ma per tutti — Germania esclusa — non risulta ancora una presenza reale negli ospiti. Questo distingue nettamente due categorie di azione: governare il canale tedesco, già presente ma sotto-sviluppato rispetto al potenziale (rating HolidayCheck debole su base ridotta), e trattare gli altri mercati collegati via volo come ipotesi da validare con un test mirato, non come domanda acquisita. Sul fronte OTA, il compito non è ridurne il peso ma tenerle presidiate: sono il canale con cui la maggioranza dei mercati esteri scopre la struttura, e vanno gestite come vetrina coerente con il posizionamento fronte mare, non abbandonate a favore di un diretto che allo stato attuale non ha né dati di partenza né automatismi di parity verificati.</w:t>
      </w:r>
    </w:p>
    <w:p>
      <w:pPr>
        <w:spacing w:before="160" w:after="40"/>
      </w:pPr>
      <w:r>
        <w:rPr>
          <w:b/>
          <w:color w:val="2F5D62"/>
          <w:sz w:val="24"/>
        </w:rPr>
        <w:t>Obiettivi misurabili</w:t>
      </w:r>
    </w:p>
    <w:p>
      <w:pPr>
        <w:pStyle w:val="ListBullet"/>
      </w:pPr>
      <w:r>
        <w:t>Mappare e formalizzare la presenza sul portale leader del mercato tedesco (obiettivo di processo: aggiornare scheda, foto e risposte in lingua, la baseline di rating su base ridotta non consente un target numerico)</w:t>
      </w:r>
    </w:p>
    <w:p>
      <w:pPr>
        <w:pStyle w:val="ListBullet"/>
      </w:pPr>
      <w:r>
        <w:t>Eseguire l'audit di parity diretto-vs-OTA sui principali metasearch prima di qualunque investimento su campagne dirette (obiettivo di processo: input oggi mancante)</w:t>
      </w:r>
    </w:p>
    <w:p>
      <w:pPr>
        <w:pStyle w:val="ListBullet"/>
      </w:pPr>
      <w:r>
        <w:t>Testare, con un pilota a budget contenuto e finestra stagionale coerente, uno dei mercati collegati via volo ma non ancora presenti nel mix ospiti (obiettivo di processo: validare l'ipotesi prima di scalare)</w:t>
      </w:r>
    </w:p>
    <w:p>
      <w:pPr>
        <w:spacing w:before="160" w:after="40"/>
      </w:pPr>
      <w:r>
        <w:rPr>
          <w:b/>
          <w:color w:val="2F5D62"/>
          <w:sz w:val="24"/>
        </w:rPr>
        <w:t>Azioni</w:t>
      </w:r>
    </w:p>
    <w:p>
      <w:pPr>
        <w:pStyle w:val="ListBullet"/>
      </w:pPr>
      <w:r>
        <w:t>Il mercato tedesco è già nel mix ospiti ma con una presenza debole sul portale di riferimento del proprio paese: questo significa che chi in Germania cerca conferma prima di prenotare trova un segnale povero, proprio nel canale che quel pubblico consulta per primo. L'azione è un presidio strutturato della scheda su quel portale — traduzione corretta, foto aggiornate, risposta alle recensioni esistenti in tedesco — accompagnato da una pagina o sezione del sito in lingua tedesca coerente con l'offerta camere vista mare, per dare al canale diretto un punto d'appoggio linguistico che oggi manca.</w:t>
      </w:r>
    </w:p>
    <w:p>
      <w:pPr>
        <w:pStyle w:val="ListBullet"/>
      </w:pPr>
      <w:r>
        <w:t>La connettività aerea segnala domanda potenziale su una serie di mercati (Regno Unito, Polonia, Ungheria, Belgio, Francia, tra gli altri) che oggi non figurano tra gli ospiti reali: prima di destinare budget a questi mercati, l'azione è impostare un singolo pilota — una landing page nella lingua del mercato scelto più una campagna PPC contenuta nella finestra stagionale in cui il collegamento aereo è attivo — per verificare se la connettività si traduce davvero in prenotazioni prima di allargare l'investimento ad altri mercati collegati.</w:t>
      </w:r>
    </w:p>
    <w:p>
      <w:pPr>
        <w:pStyle w:val="ListBullet"/>
      </w:pPr>
      <w:r>
        <w:t>Nessun dato oggi conferma se il prezzo diretto sia allineato o superiore a quello mostrato sui metasearch: se il diretto costasse di più, ogni euro speso per portare traffico al sito si tradurrebbe comunque in una prenotazione OTA. L'azione, propedeutica a qualsiasi altra spesa sul diretto, è un audit di parity sui principali metasearch, da completare prima di attivare i test sui mercati collegati via volo.</w:t>
      </w:r>
    </w:p>
    <w:p>
      <w:pPr>
        <w:pStyle w:val="ListBullet"/>
      </w:pPr>
      <w:r>
        <w:t>Le OTA restano oggi il canale con cui la gran parte della domanda estera scopre la struttura, incluso il segmento tedesco: l'azione è mantenerne il presidio — descrizione, foto e categorizzazione coerenti con il posizionamento fronte mare e con il Centro Congressi — trattandole come canale di scoperta da governare, non come terreno di battaglia da sottrarre al diretto in questa fase.</w:t>
      </w:r>
    </w:p>
    <w:p>
      <w:pPr>
        <w:spacing w:before="160" w:after="40"/>
      </w:pPr>
      <w:r>
        <w:rPr>
          <w:b/>
          <w:color w:val="2F5D62"/>
          <w:sz w:val="24"/>
        </w:rPr>
        <w:t>KPI</w:t>
      </w:r>
    </w:p>
    <w:p>
      <w:pPr>
        <w:pStyle w:val="ListBullet"/>
      </w:pPr>
      <w:r>
        <w:t>v. sez. 06 per i KPI numerici di distribuzione e canale</w:t>
      </w:r>
    </w:p>
    <w:p>
      <w:pPr>
        <w:spacing w:before="160" w:after="40"/>
      </w:pPr>
      <w:r>
        <w:rPr>
          <w:b/>
          <w:color w:val="2F5D62"/>
          <w:sz w:val="24"/>
        </w:rPr>
        <w:t>Note esecutive</w:t>
      </w:r>
    </w:p>
    <w:p>
      <w:pPr>
        <w:pStyle w:val="ListBullet"/>
      </w:pPr>
      <w:r>
        <w:t>L'audit di parity sui metasearch è un prerequisito tecnico, non opzionale: senza quel dato ogni stima di ritorno su campagne dirette resta priva di fondamento.</w:t>
      </w:r>
    </w:p>
    <w:p>
      <w:pPr>
        <w:pStyle w:val="ListBullet"/>
      </w:pPr>
      <w:r>
        <w:t>Il pilota sui mercati collegati via volo va trattato come un test a budget limitato e a esito aperto: l'obiettivo è raccogliere un primo segnale di conversione, non pianificare una campagna a regime.</w:t>
      </w:r>
    </w:p>
    <w:p>
      <w:pPr>
        <w:pStyle w:val="ListBullet"/>
      </w:pPr>
      <w:r>
        <w:t>La finestra stagionale dei collegamenti aerei (prevalentemente luglio-ottobre per la maggior parte dei mercati, continua per il Belgio) va rispettata nella programmazione del pilota: aprire il test fuori da quella finestra invalida il risultato.</w:t>
      </w:r>
    </w:p>
    <w:p>
      <w:r>
        <w:br w:type="page"/>
      </w:r>
    </w:p>
    <w:p>
      <w:pPr>
        <w:spacing w:after="0"/>
      </w:pPr>
      <w:r>
        <w:rPr>
          <w:b/>
          <w:color w:val="2F5D62"/>
          <w:sz w:val="18"/>
        </w:rPr>
        <w:t>SEZIONE 05</w:t>
      </w:r>
    </w:p>
    <w:p>
      <w:pPr>
        <w:spacing w:after="200"/>
        <w:pBdr>
          <w:bottom w:val="single" w:sz="18" w:space="6" w:color="2F5D62"/>
        </w:pBdr>
      </w:pPr>
      <w:r>
        <w:rPr>
          <w:b/>
          <w:color w:val="1A1A2E"/>
          <w:sz w:val="40"/>
        </w:rPr>
        <w:t>Roadmap 12 mesi</w:t>
      </w:r>
    </w:p>
    <w:p>
      <w:pPr>
        <w:spacing w:before="160" w:after="40"/>
      </w:pPr>
      <w:r>
        <w:rPr>
          <w:b/>
          <w:color w:val="2F5D62"/>
          <w:sz w:val="24"/>
        </w:rPr>
        <w:t>Vincoli operativi della roadmap (decision record)</w:t>
      </w:r>
    </w:p>
    <w:p>
      <w:r>
        <w:t>Archetipo operativo: annuale con quota fiere/business. Mesi di apertura: gen, feb, mar, apr, mag, giu, lug, ago, set, ott, nov, dic.</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Vincolo</w:t>
            </w:r>
          </w:p>
        </w:tc>
        <w:tc>
          <w:tcPr>
            <w:tcW w:type="dxa" w:w="2880"/>
            <w:shd w:val="clear" w:color="auto" w:fill="2F5D62"/>
          </w:tcPr>
          <w:p>
            <w:r>
              <w:rPr>
                <w:b/>
                <w:color w:val="FFFFFF"/>
                <w:sz w:val="19"/>
              </w:rPr>
              <w:t>Quando</w:t>
            </w:r>
          </w:p>
        </w:tc>
        <w:tc>
          <w:tcPr>
            <w:tcW w:type="dxa" w:w="2880"/>
            <w:shd w:val="clear" w:color="auto" w:fill="2F5D62"/>
          </w:tcPr>
          <w:p>
            <w:r>
              <w:rPr>
                <w:b/>
                <w:color w:val="FFFFFF"/>
                <w:sz w:val="19"/>
              </w:rPr>
              <w:t>Perché</w:t>
            </w:r>
          </w:p>
        </w:tc>
      </w:tr>
      <w:tr>
        <w:tc>
          <w:tcPr>
            <w:tcW w:type="dxa" w:w="2880"/>
          </w:tcPr>
          <w:p>
            <w:r>
              <w:rPr>
                <w:sz w:val="19"/>
              </w:rPr>
              <w:t>Chiusura listino/pacchetti</w:t>
            </w:r>
          </w:p>
        </w:tc>
        <w:tc>
          <w:tcPr>
            <w:tcW w:type="dxa" w:w="2880"/>
          </w:tcPr>
          <w:p>
            <w:r>
              <w:rPr>
                <w:sz w:val="19"/>
              </w:rPr>
              <w:t>gen</w:t>
            </w:r>
          </w:p>
        </w:tc>
        <w:tc>
          <w:tcPr>
            <w:tcW w:type="dxa" w:w="2880"/>
          </w:tcPr>
          <w:p>
            <w:r>
              <w:rPr>
                <w:sz w:val="19"/>
              </w:rPr>
              <w:t>vendite prenotabili prima dell'apertura delle finestre di mercato</w:t>
            </w:r>
          </w:p>
        </w:tc>
      </w:tr>
      <w:tr>
        <w:tc>
          <w:tcPr>
            <w:tcW w:type="dxa" w:w="2880"/>
            <w:shd w:val="clear" w:color="auto" w:fill="EEF2F1"/>
          </w:tcPr>
          <w:p>
            <w:r>
              <w:rPr>
                <w:sz w:val="19"/>
              </w:rPr>
              <w:t>Apertura vendite per mercato</w:t>
            </w:r>
          </w:p>
        </w:tc>
        <w:tc>
          <w:tcPr>
            <w:tcW w:type="dxa" w:w="2880"/>
            <w:shd w:val="clear" w:color="auto" w:fill="EEF2F1"/>
          </w:tcPr>
          <w:p>
            <w:r>
              <w:rPr>
                <w:sz w:val="19"/>
              </w:rPr>
              <w:t>DE gen; IT_estate gen</w:t>
            </w:r>
          </w:p>
        </w:tc>
        <w:tc>
          <w:tcPr>
            <w:tcW w:type="dxa" w:w="2880"/>
            <w:shd w:val="clear" w:color="auto" w:fill="EEF2F1"/>
          </w:tcPr>
          <w:p>
            <w:r>
              <w:rPr>
                <w:sz w:val="19"/>
              </w:rPr>
              <w:t>anticipo derivato dalle finestre di prenotazione</w:t>
            </w:r>
          </w:p>
        </w:tc>
      </w:tr>
      <w:tr>
        <w:tc>
          <w:tcPr>
            <w:tcW w:type="dxa" w:w="2880"/>
          </w:tcPr>
          <w:p>
            <w:r>
              <w:rPr>
                <w:sz w:val="19"/>
              </w:rPr>
              <w:t>Sprint nei mesi morbidi</w:t>
            </w:r>
          </w:p>
        </w:tc>
        <w:tc>
          <w:tcPr>
            <w:tcW w:type="dxa" w:w="2880"/>
          </w:tcPr>
          <w:p>
            <w:r>
              <w:rPr>
                <w:sz w:val="19"/>
              </w:rPr>
              <w:t>gen, feb, nov, dic</w:t>
            </w:r>
          </w:p>
        </w:tc>
        <w:tc>
          <w:tcPr>
            <w:tcW w:type="dxa" w:w="2880"/>
          </w:tcPr>
          <w:p>
            <w:r>
              <w:rPr>
                <w:sz w:val="19"/>
              </w:rPr>
              <w:t>l'annuale non ha cantiere di chiusura: lavori a rotazione</w:t>
            </w:r>
          </w:p>
        </w:tc>
      </w:tr>
      <w:tr>
        <w:tc>
          <w:tcPr>
            <w:tcW w:type="dxa" w:w="2880"/>
            <w:shd w:val="clear" w:color="auto" w:fill="EEF2F1"/>
          </w:tcPr>
          <w:p>
            <w:r>
              <w:rPr>
                <w:sz w:val="19"/>
              </w:rPr>
              <w:t>Piano presenza fiere</w:t>
            </w:r>
          </w:p>
        </w:tc>
        <w:tc>
          <w:tcPr>
            <w:tcW w:type="dxa" w:w="2880"/>
            <w:shd w:val="clear" w:color="auto" w:fill="EEF2F1"/>
          </w:tcPr>
          <w:p>
            <w:r>
              <w:rPr>
                <w:sz w:val="19"/>
              </w:rPr>
              <w:t>RiminiWellness, World Ducati Week, Meeting di Rimini, Tecna, TTG/SIA/SUN, Ecomondo, IBE, SIGEP, Beer&amp;Food Attraction, KEY</w:t>
            </w:r>
          </w:p>
        </w:tc>
        <w:tc>
          <w:tcPr>
            <w:tcW w:type="dxa" w:w="2880"/>
            <w:shd w:val="clear" w:color="auto" w:fill="EEF2F1"/>
          </w:tcPr>
          <w:p>
            <w:r>
              <w:rPr>
                <w:sz w:val="19"/>
              </w:rPr>
              <w:t>una pagina/offerta per fiera, con navetta e convenzioni</w:t>
            </w:r>
          </w:p>
        </w:tc>
      </w:tr>
      <w:tr>
        <w:tc>
          <w:tcPr>
            <w:tcW w:type="dxa" w:w="2880"/>
          </w:tcPr>
          <w:p>
            <w:r>
              <w:rPr>
                <w:sz w:val="19"/>
              </w:rPr>
              <w:t>Picchi evento di destinazione</w:t>
            </w:r>
          </w:p>
        </w:tc>
        <w:tc>
          <w:tcPr>
            <w:tcW w:type="dxa" w:w="2880"/>
          </w:tcPr>
          <w:p>
            <w:r>
              <w:rPr>
                <w:sz w:val="19"/>
              </w:rPr>
              <w:t>Notte Rosa (2026-06-19)</w:t>
            </w:r>
          </w:p>
        </w:tc>
        <w:tc>
          <w:tcPr>
            <w:tcW w:type="dxa" w:w="2880"/>
          </w:tcPr>
          <w:p>
            <w:r>
              <w:rPr>
                <w:sz w:val="19"/>
              </w:rPr>
              <w:t>picchi di domanda weekend da nominare nella roadmap</w:t>
            </w:r>
          </w:p>
        </w:tc>
      </w:tr>
      <w:tr>
        <w:tc>
          <w:tcPr>
            <w:tcW w:type="dxa" w:w="2880"/>
            <w:shd w:val="clear" w:color="auto" w:fill="EEF2F1"/>
          </w:tcPr>
          <w:p>
            <w:r>
              <w:rPr>
                <w:sz w:val="19"/>
              </w:rPr>
              <w:t>Festività e ponti (fuori picco)</w:t>
            </w:r>
          </w:p>
        </w:tc>
        <w:tc>
          <w:tcPr>
            <w:tcW w:type="dxa" w:w="2880"/>
            <w:shd w:val="clear" w:color="auto" w:fill="EEF2F1"/>
          </w:tcPr>
          <w:p>
            <w:r>
              <w:rPr>
                <w:sz w:val="19"/>
              </w:rPr>
              <w:t>Ognissanti, Immacolata (ponte), Natale (weekend lungo), Santo Stefano, Capodanno (weekend lungo), Epifania, Pasqua, Pasquetta (weekend lungo), Liberazione, Festa del Lavoro, Festa della Repubblica</w:t>
            </w:r>
          </w:p>
        </w:tc>
        <w:tc>
          <w:tcPr>
            <w:tcW w:type="dxa" w:w="2880"/>
            <w:shd w:val="clear" w:color="auto" w:fill="EEF2F1"/>
          </w:tcPr>
          <w:p>
            <w:r>
              <w:rPr>
                <w:sz w:val="19"/>
              </w:rPr>
              <w:t>momenti-prodotto di bassa/media stagione: pacchetti dedicati; i ponti sono meteo-dipendenti, a finestra corta</w:t>
            </w:r>
          </w:p>
        </w:tc>
      </w:tr>
      <w:tr>
        <w:tc>
          <w:tcPr>
            <w:tcW w:type="dxa" w:w="2880"/>
          </w:tcPr>
          <w:p>
            <w:r>
              <w:rPr>
                <w:sz w:val="19"/>
              </w:rPr>
              <w:t>Prodotto di bassa stagione</w:t>
            </w:r>
          </w:p>
        </w:tc>
        <w:tc>
          <w:tcPr>
            <w:tcW w:type="dxa" w:w="2880"/>
          </w:tcPr>
          <w:p>
            <w:r>
              <w:rPr>
                <w:sz w:val="19"/>
              </w:rPr>
              <w:t>pacchetti benessere e festività</w:t>
            </w:r>
          </w:p>
        </w:tc>
        <w:tc>
          <w:tcPr>
            <w:tcW w:type="dxa" w:w="2880"/>
          </w:tcPr>
          <w:p>
            <w:r>
              <w:rPr>
                <w:sz w:val="19"/>
              </w:rPr>
              <w:t>spa/piscina riscaldata: il prodotto che riempie l'inverno</w:t>
            </w:r>
          </w:p>
        </w:tc>
      </w:tr>
    </w:tbl>
    <w:p>
      <w:pPr>
        <w:spacing w:after="160"/>
      </w:pPr>
    </w:p>
    <w:p>
      <w:pPr>
        <w:spacing w:before="160" w:after="40"/>
      </w:pPr>
      <w:r>
        <w:rPr>
          <w:b/>
          <w:color w:val="2F5D62"/>
          <w:sz w:val="24"/>
        </w:rPr>
        <w:t>Finestre di campagna per segmento (ancorate al picco reale)</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Segmento</w:t>
            </w:r>
          </w:p>
        </w:tc>
        <w:tc>
          <w:tcPr>
            <w:tcW w:type="dxa" w:w="2160"/>
            <w:shd w:val="clear" w:color="auto" w:fill="2F5D62"/>
          </w:tcPr>
          <w:p>
            <w:r>
              <w:rPr>
                <w:b/>
                <w:color w:val="FFFFFF"/>
                <w:sz w:val="19"/>
              </w:rPr>
              <w:t>Avvio campagna</w:t>
            </w:r>
          </w:p>
        </w:tc>
        <w:tc>
          <w:tcPr>
            <w:tcW w:type="dxa" w:w="2160"/>
            <w:shd w:val="clear" w:color="auto" w:fill="2F5D62"/>
          </w:tcPr>
          <w:p>
            <w:r>
              <w:rPr>
                <w:b/>
                <w:color w:val="FFFFFF"/>
                <w:sz w:val="19"/>
              </w:rPr>
              <w:t>Mese di picco</w:t>
            </w:r>
          </w:p>
        </w:tc>
        <w:tc>
          <w:tcPr>
            <w:tcW w:type="dxa" w:w="2160"/>
            <w:shd w:val="clear" w:color="auto" w:fill="2F5D62"/>
          </w:tcPr>
          <w:p>
            <w:r>
              <w:rPr>
                <w:b/>
                <w:color w:val="FFFFFF"/>
                <w:sz w:val="19"/>
              </w:rPr>
              <w:t>Anticipo (mesi)</w:t>
            </w:r>
          </w:p>
        </w:tc>
      </w:tr>
      <w:tr>
        <w:tc>
          <w:tcPr>
            <w:tcW w:type="dxa" w:w="2160"/>
          </w:tcPr>
          <w:p>
            <w:r>
              <w:rPr>
                <w:sz w:val="19"/>
              </w:rPr>
              <w:t>Famiglie</w:t>
            </w:r>
          </w:p>
        </w:tc>
        <w:tc>
          <w:tcPr>
            <w:tcW w:type="dxa" w:w="2160"/>
          </w:tcPr>
          <w:p>
            <w:r>
              <w:rPr>
                <w:sz w:val="19"/>
              </w:rPr>
              <w:t>mar</w:t>
            </w:r>
          </w:p>
        </w:tc>
        <w:tc>
          <w:tcPr>
            <w:tcW w:type="dxa" w:w="2160"/>
          </w:tcPr>
          <w:p>
            <w:r>
              <w:rPr>
                <w:sz w:val="19"/>
              </w:rPr>
              <w:t>giu</w:t>
            </w:r>
          </w:p>
        </w:tc>
        <w:tc>
          <w:tcPr>
            <w:tcW w:type="dxa" w:w="2160"/>
          </w:tcPr>
          <w:p>
            <w:r>
              <w:rPr>
                <w:sz w:val="19"/>
              </w:rPr>
              <w:t>3</w:t>
            </w:r>
          </w:p>
        </w:tc>
      </w:tr>
      <w:tr>
        <w:tc>
          <w:tcPr>
            <w:tcW w:type="dxa" w:w="2160"/>
            <w:shd w:val="clear" w:color="auto" w:fill="EEF2F1"/>
          </w:tcPr>
          <w:p>
            <w:r>
              <w:rPr>
                <w:sz w:val="19"/>
              </w:rPr>
              <w:t>Coppie</w:t>
            </w:r>
          </w:p>
        </w:tc>
        <w:tc>
          <w:tcPr>
            <w:tcW w:type="dxa" w:w="2160"/>
            <w:shd w:val="clear" w:color="auto" w:fill="EEF2F1"/>
          </w:tcPr>
          <w:p>
            <w:r>
              <w:rPr>
                <w:sz w:val="19"/>
              </w:rPr>
              <w:t>apr</w:t>
            </w:r>
          </w:p>
        </w:tc>
        <w:tc>
          <w:tcPr>
            <w:tcW w:type="dxa" w:w="2160"/>
            <w:shd w:val="clear" w:color="auto" w:fill="EEF2F1"/>
          </w:tcPr>
          <w:p>
            <w:r>
              <w:rPr>
                <w:sz w:val="19"/>
              </w:rPr>
              <w:t>giu</w:t>
            </w:r>
          </w:p>
        </w:tc>
        <w:tc>
          <w:tcPr>
            <w:tcW w:type="dxa" w:w="2160"/>
            <w:shd w:val="clear" w:color="auto" w:fill="EEF2F1"/>
          </w:tcPr>
          <w:p>
            <w:r>
              <w:rPr>
                <w:sz w:val="19"/>
              </w:rPr>
              <w:t>2</w:t>
            </w:r>
          </w:p>
        </w:tc>
      </w:tr>
      <w:tr>
        <w:tc>
          <w:tcPr>
            <w:tcW w:type="dxa" w:w="2160"/>
          </w:tcPr>
          <w:p>
            <w:r>
              <w:rPr>
                <w:sz w:val="19"/>
              </w:rPr>
              <w:t>DACH</w:t>
            </w:r>
          </w:p>
        </w:tc>
        <w:tc>
          <w:tcPr>
            <w:tcW w:type="dxa" w:w="2160"/>
          </w:tcPr>
          <w:p>
            <w:r>
              <w:rPr>
                <w:sz w:val="19"/>
              </w:rPr>
              <w:t>gen</w:t>
            </w:r>
          </w:p>
        </w:tc>
        <w:tc>
          <w:tcPr>
            <w:tcW w:type="dxa" w:w="2160"/>
          </w:tcPr>
          <w:p>
            <w:r>
              <w:rPr>
                <w:sz w:val="19"/>
              </w:rPr>
              <w:t>giu</w:t>
            </w:r>
          </w:p>
        </w:tc>
        <w:tc>
          <w:tcPr>
            <w:tcW w:type="dxa" w:w="2160"/>
          </w:tcPr>
          <w:p>
            <w:r>
              <w:rPr>
                <w:sz w:val="19"/>
              </w:rPr>
              <w:t>5</w:t>
            </w:r>
          </w:p>
        </w:tc>
      </w:tr>
    </w:tbl>
    <w:p>
      <w:pPr>
        <w:spacing w:after="160"/>
      </w:pPr>
    </w:p>
    <w:p>
      <w:r>
        <w:t>L'Hotel Mediterraneo è una struttura year-round mista fiera-business: apertura tutto l'anno, sale meeting attive, front desk presidiato ogni ora, domanda leisure che si sovrappone a quella congressuale invece di alternarsi ad essa. Questo significa che non esiste un cantiere tecnico da confinare in bassa stagione: gli interventi su sito, dati strutturati, contenuti e RFP vanno inseriti a sprint nei mesi di minore pressione commerciale, senza mai sospendere la vendita. La cadenza sotto è costruita sui vincoli reali della struttura — il calendario fieristico del Palazzo dei Congressi, i pesi di segmento del mix ospiti e il gap di visibilità organica già quantificato — e non su un calendario stagionale generico.</w:t>
      </w:r>
    </w:p>
    <w:p>
      <w:pPr>
        <w:spacing w:before="160" w:after="40"/>
      </w:pPr>
      <w:r>
        <w:rPr>
          <w:b/>
          <w:color w:val="2F5D62"/>
          <w:sz w:val="24"/>
        </w:rPr>
        <w:t>Obiettivi misurabili</w:t>
      </w:r>
    </w:p>
    <w:p>
      <w:pPr>
        <w:pStyle w:val="ListBullet"/>
      </w:pPr>
      <w:r>
        <w:t>Completare entro il primo trimestre l'implementazione dei dati strutturati (Hotel, LodgingBusiness, FAQPage, AggregateRating) sulle pagine segmento, oggi assenti su tutto il sito (v. sez. 06)</w:t>
      </w:r>
    </w:p>
    <w:p>
      <w:pPr>
        <w:pStyle w:val="ListBullet"/>
      </w:pPr>
      <w:r>
        <w:t>Attivare e verificare entro il primo trimestre il form RFP dedicato sulla pagina meeting/congressi, oggi non presente</w:t>
      </w:r>
    </w:p>
    <w:p>
      <w:pPr>
        <w:pStyle w:val="ListBullet"/>
      </w:pPr>
      <w:r>
        <w:t>Ripetere l'audit di visibilità sugli assistenti AI con credenziali valide su Gemini e Perplexity entro il primo trimestre, per chiudere il gap di misurazione segnalato</w:t>
      </w:r>
    </w:p>
    <w:p>
      <w:pPr>
        <w:pStyle w:val="ListBullet"/>
      </w:pPr>
      <w:r>
        <w:t>Portare in top 10 la query non-brand a maggior volume del comparto entro l'orizzonte annuale (v. sez. 06)</w:t>
      </w:r>
    </w:p>
    <w:p>
      <w:pPr>
        <w:pStyle w:val="ListBullet"/>
      </w:pPr>
      <w:r>
        <w:t>Eseguire l'audit di parity sui principali metasearch prima dell'apertura vendite sui mercati esteri a maggiore lead time</w:t>
      </w:r>
    </w:p>
    <w:p>
      <w:pPr>
        <w:spacing w:before="160" w:after="40"/>
      </w:pPr>
      <w:r>
        <w:rPr>
          <w:b/>
          <w:color w:val="2F5D62"/>
          <w:sz w:val="24"/>
        </w:rPr>
        <w:t>Azioni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Trimestre</w:t>
            </w:r>
          </w:p>
        </w:tc>
        <w:tc>
          <w:tcPr>
            <w:tcW w:type="dxa" w:w="2160"/>
            <w:shd w:val="clear" w:color="auto" w:fill="2F5D62"/>
          </w:tcPr>
          <w:p>
            <w:r>
              <w:rPr>
                <w:b/>
                <w:color w:val="FFFFFF"/>
                <w:sz w:val="19"/>
              </w:rPr>
              <w:t>Fase</w:t>
            </w:r>
          </w:p>
        </w:tc>
        <w:tc>
          <w:tcPr>
            <w:tcW w:type="dxa" w:w="2160"/>
            <w:shd w:val="clear" w:color="auto" w:fill="2F5D62"/>
          </w:tcPr>
          <w:p>
            <w:r>
              <w:rPr>
                <w:b/>
                <w:color w:val="FFFFFF"/>
                <w:sz w:val="19"/>
              </w:rPr>
              <w:t>Azioni prioritarie</w:t>
            </w:r>
          </w:p>
        </w:tc>
        <w:tc>
          <w:tcPr>
            <w:tcW w:type="dxa" w:w="2160"/>
            <w:shd w:val="clear" w:color="auto" w:fill="2F5D62"/>
          </w:tcPr>
          <w:p>
            <w:r>
              <w:rPr>
                <w:b/>
                <w:color w:val="FFFFFF"/>
                <w:sz w:val="19"/>
              </w:rPr>
              <w:t>Owner</w:t>
            </w:r>
          </w:p>
        </w:tc>
      </w:tr>
      <w:tr>
        <w:tc>
          <w:tcPr>
            <w:tcW w:type="dxa" w:w="2160"/>
          </w:tcPr>
          <w:p>
            <w:r>
              <w:rPr>
                <w:sz w:val="19"/>
              </w:rPr>
              <w:t>T3 2026 (lug-set)</w:t>
            </w:r>
          </w:p>
        </w:tc>
        <w:tc>
          <w:tcPr>
            <w:tcW w:type="dxa" w:w="2160"/>
          </w:tcPr>
          <w:p>
            <w:r>
              <w:rPr>
                <w:sz w:val="19"/>
              </w:rPr>
              <w:t>Presidio in corso + raccolta materiale</w:t>
            </w:r>
          </w:p>
        </w:tc>
        <w:tc>
          <w:tcPr>
            <w:tcW w:type="dxa" w:w="2160"/>
          </w:tcPr>
          <w:p>
            <w:r>
              <w:rPr>
                <w:sz w:val="19"/>
              </w:rPr>
              <w:t>Nessun nuovo cantiere tecnico in questa finestra: la struttura è in piena pressione commerciale su leisure estivo e code congressuali di inizio autunno. Si lavora solo su gestione reputazione quotidiana e raccolta sistematica di foto/video reali (camere, piscina, sale meeting in uso, colazione) da riutilizzare nei contenuti del trimestre successivo, poiché un hotel a pieno regime è l'unico momento per catturare materiale autentico sulle sale eventi e sul fronte mare.</w:t>
            </w:r>
          </w:p>
        </w:tc>
        <w:tc>
          <w:tcPr>
            <w:tcW w:type="dxa" w:w="2160"/>
          </w:tcPr>
          <w:p>
            <w:r>
              <w:rPr>
                <w:sz w:val="19"/>
              </w:rPr>
              <w:t>Direzione + Marketing</w:t>
            </w:r>
          </w:p>
        </w:tc>
      </w:tr>
      <w:tr>
        <w:tc>
          <w:tcPr>
            <w:tcW w:type="dxa" w:w="2160"/>
            <w:shd w:val="clear" w:color="auto" w:fill="EEF2F1"/>
          </w:tcPr>
          <w:p>
            <w:r>
              <w:rPr>
                <w:sz w:val="19"/>
              </w:rPr>
              <w:t>T4 2026 (ott-dic)</w:t>
            </w:r>
          </w:p>
        </w:tc>
        <w:tc>
          <w:tcPr>
            <w:tcW w:type="dxa" w:w="2160"/>
            <w:shd w:val="clear" w:color="auto" w:fill="EEF2F1"/>
          </w:tcPr>
          <w:p>
            <w:r>
              <w:rPr>
                <w:sz w:val="19"/>
              </w:rPr>
              <w:t>Sprint tecnico e contenuti</w:t>
            </w:r>
          </w:p>
        </w:tc>
        <w:tc>
          <w:tcPr>
            <w:tcW w:type="dxa" w:w="2160"/>
            <w:shd w:val="clear" w:color="auto" w:fill="EEF2F1"/>
          </w:tcPr>
          <w:p>
            <w:r>
              <w:rPr>
                <w:sz w:val="19"/>
              </w:rPr>
              <w:t>Finestra a pressione commerciale più bassa: qui si concentra lo sprint sui dati strutturati mancanti (Hotel, LodgingBusiness, FAQPage, AggregateRating) sulle pagine camere, famiglie, business ed eventi, e la costruzione del form RFP sulla pagina meeting/congressi con campi su capienza, date e servizi richiesti. In parallelo si avvia la produzione dei contenuti factual sulla pagina servizi-per-bambini (FAQ con schema) per aggredire l'assenza rilevata su assistenti AI nel segmento famiglia, e si pubblica il primo case study B2B con dati quantitativi (partecipanti, servizi) su un evento aziendale già ospitato.</w:t>
            </w:r>
          </w:p>
        </w:tc>
        <w:tc>
          <w:tcPr>
            <w:tcW w:type="dxa" w:w="2160"/>
            <w:shd w:val="clear" w:color="auto" w:fill="EEF2F1"/>
          </w:tcPr>
          <w:p>
            <w:r>
              <w:rPr>
                <w:sz w:val="19"/>
              </w:rPr>
              <w:t>Web agency + Marketing</w:t>
            </w:r>
          </w:p>
        </w:tc>
      </w:tr>
      <w:tr>
        <w:tc>
          <w:tcPr>
            <w:tcW w:type="dxa" w:w="2160"/>
          </w:tcPr>
          <w:p>
            <w:r>
              <w:rPr>
                <w:sz w:val="19"/>
              </w:rPr>
              <w:t>T1 2027 (gen-mar)</w:t>
            </w:r>
          </w:p>
        </w:tc>
        <w:tc>
          <w:tcPr>
            <w:tcW w:type="dxa" w:w="2160"/>
          </w:tcPr>
          <w:p>
            <w:r>
              <w:rPr>
                <w:sz w:val="19"/>
              </w:rPr>
              <w:t>Verifica e apertura vendite mercati a lead lungo</w:t>
            </w:r>
          </w:p>
        </w:tc>
        <w:tc>
          <w:tcPr>
            <w:tcW w:type="dxa" w:w="2160"/>
          </w:tcPr>
          <w:p>
            <w:r>
              <w:rPr>
                <w:sz w:val="19"/>
              </w:rPr>
              <w:t>Si ripete l'audit di visibilità AI con credenziali valide su Gemini e Perplexity per completare il quadro provvisorio oggi limitato a OpenAI, e si esegue l'audit di parity diretto/OTA sui principali metasearch prima di aprire qualunque investimento pubblicitario diretto. È la finestra in cui, coerentemente con i lead time più lunghi dei mercati esteri, si apre la comunicazione verso i mercati raggiungibili per volo diretto (tedesco già presente nel mix, oltre alle rotte stagionali emergenti) e si prepara la vetrina di offerte per la stagione successiva.</w:t>
            </w:r>
          </w:p>
        </w:tc>
        <w:tc>
          <w:tcPr>
            <w:tcW w:type="dxa" w:w="2160"/>
          </w:tcPr>
          <w:p>
            <w:r>
              <w:rPr>
                <w:sz w:val="19"/>
              </w:rPr>
              <w:t>Marketing + Revenue</w:t>
            </w:r>
          </w:p>
        </w:tc>
      </w:tr>
      <w:tr>
        <w:tc>
          <w:tcPr>
            <w:tcW w:type="dxa" w:w="2160"/>
            <w:shd w:val="clear" w:color="auto" w:fill="EEF2F1"/>
          </w:tcPr>
          <w:p>
            <w:r>
              <w:rPr>
                <w:sz w:val="19"/>
              </w:rPr>
              <w:t>T2 2027 (apr-giu)</w:t>
            </w:r>
          </w:p>
        </w:tc>
        <w:tc>
          <w:tcPr>
            <w:tcW w:type="dxa" w:w="2160"/>
            <w:shd w:val="clear" w:color="auto" w:fill="EEF2F1"/>
          </w:tcPr>
          <w:p>
            <w:r>
              <w:rPr>
                <w:sz w:val="19"/>
              </w:rPr>
              <w:t>Lancio e monitoraggio</w:t>
            </w:r>
          </w:p>
        </w:tc>
        <w:tc>
          <w:tcPr>
            <w:tcW w:type="dxa" w:w="2160"/>
            <w:shd w:val="clear" w:color="auto" w:fill="EEF2F1"/>
          </w:tcPr>
          <w:p>
            <w:r>
              <w:rPr>
                <w:sz w:val="19"/>
              </w:rPr>
              <w:t>Le query non-brand identificate in gap (a partire da quella a maggior volume) devono risultare presidiate prima dell'apertura della stagione leisure piena, non durante: qui si verifica il posizionamento raggiunto e si correggono i contenuti in base ai primi segnali di ranking. Si attiva anche la comunicazione dedicata al segmento coppia (pagina suite/wellness) in vista del picco di prenotazioni weekend, e si completa la pubblicazione dei contenuti family in tempo utile rispetto alla ricerca estiva.</w:t>
            </w:r>
          </w:p>
        </w:tc>
        <w:tc>
          <w:tcPr>
            <w:tcW w:type="dxa" w:w="2160"/>
            <w:shd w:val="clear" w:color="auto" w:fill="EEF2F1"/>
          </w:tcPr>
          <w:p>
            <w:r>
              <w:rPr>
                <w:sz w:val="19"/>
              </w:rPr>
              <w:t>Marketing + SEO</w:t>
            </w:r>
          </w:p>
        </w:tc>
      </w:tr>
    </w:tbl>
    <w:p>
      <w:pPr>
        <w:spacing w:after="160"/>
      </w:pPr>
    </w:p>
    <w:p>
      <w:r>
        <w:t>Il gate di fondo resta il calendario fieristico del Palazzo dei Congressi e di Rimini Fiera: essendo una struttura aperta tutto l'anno a soli 400 metri dal Palazzo, ogni evento in calendario è un'opportunità di copertura dedicata (pagina + offerta + navetta), non un'eccezione da gestire a parte. Il form RFP e i case study B2B vanno quindi pronti prima dell'autunno, quando la concentrazione di fiere ed eventi congressuali è storicamente più alta, per non arrivare a rincorrere la domanda già formata.</w:t>
      </w:r>
    </w:p>
    <w:p>
      <w:pPr>
        <w:spacing w:before="160" w:after="40"/>
      </w:pPr>
      <w:r>
        <w:rPr>
          <w:b/>
          <w:color w:val="2F5D62"/>
          <w:sz w:val="24"/>
        </w:rPr>
        <w:t>KPI</w:t>
      </w:r>
    </w:p>
    <w:p>
      <w:pPr>
        <w:pStyle w:val="ListBullet"/>
      </w:pPr>
      <w:r>
        <w:t>Copertura dati strutturati: v. sez. 06</w:t>
      </w:r>
    </w:p>
    <w:p>
      <w:pPr>
        <w:pStyle w:val="ListBullet"/>
      </w:pPr>
      <w:r>
        <w:t>Posizionamento query non-brand prioritaria: v. sez. 06</w:t>
      </w:r>
    </w:p>
    <w:p>
      <w:pPr>
        <w:pStyle w:val="ListBullet"/>
      </w:pPr>
      <w:r>
        <w:t>Form RFP attivo e tracciato: v. sez. 06</w:t>
      </w:r>
    </w:p>
    <w:p>
      <w:pPr>
        <w:pStyle w:val="ListBullet"/>
      </w:pPr>
      <w:r>
        <w:t>Completamento audit AI (Gemini, Perplexity): v. sez. 06</w:t>
      </w:r>
    </w:p>
    <w:p>
      <w:pPr>
        <w:spacing w:before="160" w:after="40"/>
      </w:pPr>
      <w:r>
        <w:rPr>
          <w:b/>
          <w:color w:val="2F5D62"/>
          <w:sz w:val="24"/>
        </w:rPr>
        <w:t>Note esecutive</w:t>
      </w:r>
    </w:p>
    <w:p>
      <w:pPr>
        <w:pStyle w:val="ListBullet"/>
      </w:pPr>
      <w:r>
        <w:t>La sequenza qui descritta non prevede fermo cantiere in nessun trimestre, coerentemente con il profilo year-round della struttura: gli interventi tecnici sono concentrati nei mesi di minore pressione commerciale, non in un periodo di chiusura che per questa struttura non esiste.</w:t>
      </w:r>
    </w:p>
    <w:p>
      <w:pPr>
        <w:pStyle w:val="ListBullet"/>
      </w:pPr>
      <w:r>
        <w:t>Le date di apertura vendite sui mercati esteri sono ancorate ai lead time noti per quei mercati (prenotazione con largo anticipo), da confermare con i dati reali di prenotazione della struttura non appena disponibili (v. sez. 08).</w:t>
      </w:r>
    </w:p>
    <w:p>
      <w:pPr>
        <w:pStyle w:val="ListBullet"/>
      </w:pPr>
      <w:r>
        <w:t>Le metriche tariffarie e di rendimento restano di competenza della struttura: questa roadmap non tocca prezzi e listini se non come vetrina da tenere pronta in anticipo sui tempi di apertura vendite.</w:t>
      </w:r>
    </w:p>
    <w:p>
      <w:r>
        <w:br w:type="page"/>
      </w:r>
    </w:p>
    <w:p>
      <w:pPr>
        <w:spacing w:after="0"/>
      </w:pPr>
      <w:r>
        <w:rPr>
          <w:b/>
          <w:color w:val="2F5D62"/>
          <w:sz w:val="18"/>
        </w:rPr>
        <w:t>SEZIONE 06</w:t>
      </w:r>
    </w:p>
    <w:p>
      <w:pPr>
        <w:spacing w:after="200"/>
        <w:pBdr>
          <w:bottom w:val="single" w:sz="18" w:space="6" w:color="2F5D62"/>
        </w:pBdr>
      </w:pPr>
      <w:r>
        <w:rPr>
          <w:b/>
          <w:color w:val="1A1A2E"/>
          <w:sz w:val="40"/>
        </w:rPr>
        <w:t>Misurazione &amp; governance</w:t>
      </w:r>
    </w:p>
    <w:p>
      <w:pPr>
        <w:spacing w:before="160" w:after="40"/>
      </w:pPr>
      <w:r>
        <w:rPr>
          <w:b/>
          <w:color w:val="2F5D62"/>
          <w:sz w:val="24"/>
        </w:rPr>
        <w:t>KPI nord (baseline → target o obiettivo di processo)</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w:t>
            </w:r>
          </w:p>
        </w:tc>
        <w:tc>
          <w:tcPr>
            <w:tcW w:type="dxa" w:w="2160"/>
            <w:shd w:val="clear" w:color="auto" w:fill="2F5D62"/>
          </w:tcPr>
          <w:p>
            <w:r>
              <w:rPr>
                <w:b/>
                <w:color w:val="FFFFFF"/>
                <w:sz w:val="19"/>
              </w:rPr>
              <w:t>Obiettivo di processo</w:t>
            </w:r>
          </w:p>
        </w:tc>
      </w:tr>
      <w:tr>
        <w:tc>
          <w:tcPr>
            <w:tcW w:type="dxa" w:w="2160"/>
          </w:tcPr>
          <w:p>
            <w:r>
              <w:rPr>
                <w:sz w:val="19"/>
              </w:rPr>
              <w:t>Volume recensioni (tutte le piattaforme)</w:t>
            </w:r>
          </w:p>
        </w:tc>
        <w:tc>
          <w:tcPr>
            <w:tcW w:type="dxa" w:w="2160"/>
          </w:tcPr>
          <w:p>
            <w:r>
              <w:rPr>
                <w:sz w:val="19"/>
              </w:rPr>
              <w:t>4619</w:t>
            </w:r>
          </w:p>
        </w:tc>
        <w:tc>
          <w:tcPr>
            <w:tcW w:type="dxa" w:w="2160"/>
          </w:tcPr>
          <w:p>
            <w:r>
              <w:rPr>
                <w:sz w:val="19"/>
              </w:rPr>
              <w:t>4821</w:t>
            </w:r>
          </w:p>
        </w:tc>
        <w:tc>
          <w:tcPr>
            <w:tcW w:type="dxa" w:w="2160"/>
          </w:tcPr>
          <w:p>
            <w:r>
              <w:rPr>
                <w:sz w:val="19"/>
              </w:rPr>
              <w:t>—</w:t>
            </w:r>
          </w:p>
        </w:tc>
      </w:tr>
      <w:tr>
        <w:tc>
          <w:tcPr>
            <w:tcW w:type="dxa" w:w="2160"/>
            <w:shd w:val="clear" w:color="auto" w:fill="EEF2F1"/>
          </w:tcPr>
          <w:p>
            <w:r>
              <w:rPr>
                <w:sz w:val="19"/>
              </w:rPr>
              <w:t>Quota di prenotazione diretta</w:t>
            </w:r>
          </w:p>
        </w:tc>
        <w:tc>
          <w:tcPr>
            <w:tcW w:type="dxa" w:w="2160"/>
            <w:shd w:val="clear" w:color="auto" w:fill="EEF2F1"/>
          </w:tcPr>
          <w:p>
            <w:r>
              <w:rPr>
                <w:sz w:val="19"/>
              </w:rPr>
              <w:t>—</w:t>
            </w:r>
          </w:p>
        </w:tc>
        <w:tc>
          <w:tcPr>
            <w:tcW w:type="dxa" w:w="2160"/>
            <w:shd w:val="clear" w:color="auto" w:fill="EEF2F1"/>
          </w:tcPr>
          <w:p>
            <w:r>
              <w:rPr>
                <w:sz w:val="19"/>
              </w:rPr>
              <w:t>—</w:t>
            </w:r>
          </w:p>
        </w:tc>
        <w:tc>
          <w:tcPr>
            <w:tcW w:type="dxa" w:w="2160"/>
            <w:shd w:val="clear" w:color="auto" w:fill="EEF2F1"/>
          </w:tcPr>
          <w:p>
            <w:r>
              <w:rPr>
                <w:sz w:val="19"/>
              </w:rPr>
              <w:t>Quota diretta reale non tracciata nella diagnosi: misurare la baseline (booking engine/PMS) prima di fissare un obiettivo numerico.</w:t>
            </w:r>
          </w:p>
        </w:tc>
      </w:tr>
      <w:tr>
        <w:tc>
          <w:tcPr>
            <w:tcW w:type="dxa" w:w="2160"/>
          </w:tcPr>
          <w:p>
            <w:r>
              <w:rPr>
                <w:sz w:val="19"/>
              </w:rPr>
              <w:t>Rating aggregato</w:t>
            </w:r>
          </w:p>
        </w:tc>
        <w:tc>
          <w:tcPr>
            <w:tcW w:type="dxa" w:w="2160"/>
          </w:tcPr>
          <w:p>
            <w:r>
              <w:rPr>
                <w:sz w:val="19"/>
              </w:rPr>
              <w:t>4.23</w:t>
            </w:r>
          </w:p>
        </w:tc>
        <w:tc>
          <w:tcPr>
            <w:tcW w:type="dxa" w:w="2160"/>
          </w:tcPr>
          <w:p>
            <w:r>
              <w:rPr>
                <w:sz w:val="19"/>
              </w:rPr>
              <w:t>—</w:t>
            </w:r>
          </w:p>
        </w:tc>
        <w:tc>
          <w:tcPr>
            <w:tcW w:type="dxa" w:w="2160"/>
          </w:tcPr>
          <w:p>
            <w:r>
              <w:rPr>
                <w:sz w:val="19"/>
              </w:rPr>
              <w:t>KPI di score lento (media cumulata su centinaia di recensioni): non calare sotto la baseline, orizzonti lunghi, nessun salto in 2-3 mesi.</w:t>
            </w:r>
          </w:p>
        </w:tc>
      </w:tr>
    </w:tbl>
    <w:p>
      <w:pPr>
        <w:spacing w:after="160"/>
      </w:pPr>
    </w:p>
    <w:p>
      <w:r>
        <w:t>Questa sezione fissa l'unico cruscotto numerico del piano: quello che governa l'esecuzione mese per mese e su cui si valuta, a scadenze fisse, se le azioni delle sezioni precedenti stanno funzionando. Dove esiste una baseline reale, il KPI ha un target; dove la baseline manca, il KPI resta un obiettivo di processo — misurare e impostare il tracciamento, non inseguire un numero senza punto di partenza. I benchmark di settore su acquisizione diretta e commissioni restano riferimenti da validare con i dati reali della struttura, non traguardi imposti dall'esterno; le metriche tariffarie e di rendimento non compaiono in questo cruscotto perché restano di competenza della struttura.</w:t>
      </w:r>
    </w:p>
    <w:p>
      <w:pPr>
        <w:spacing w:before="160" w:after="40"/>
      </w:pPr>
      <w:r>
        <w:rPr>
          <w:b/>
          <w:color w:val="2F5D62"/>
          <w:sz w:val="24"/>
        </w:rPr>
        <w:t>Obiettivi misurabili</w:t>
      </w:r>
    </w:p>
    <w:p>
      <w:pPr>
        <w:pStyle w:val="ListBullet"/>
      </w:pPr>
      <w:r>
        <w:t>Impostare entro il primo trimestre il tracciamento della quota di prenotazioni dirette per canale (obiettivo di processo: baseline oggi non disponibile)</w:t>
      </w:r>
    </w:p>
    <w:p>
      <w:pPr>
        <w:pStyle w:val="ListBullet"/>
      </w:pPr>
      <w:r>
        <w:t>Portare in top 3 la query a maggior volume del comparto entro un orizzonte di due-tre cicli di aggiornamento (v. sez. 03 per il dettaglio del gap)</w:t>
      </w:r>
    </w:p>
    <w:p>
      <w:pPr>
        <w:pStyle w:val="ListBullet"/>
      </w:pPr>
      <w:r>
        <w:t>Attivare la misurazione strutturata del funnel MICE (richieste preventivo ricevute → confermate) dal momento dell'implementazione del form RFP</w:t>
      </w:r>
    </w:p>
    <w:p>
      <w:pPr>
        <w:pStyle w:val="ListBullet"/>
      </w:pPr>
      <w:r>
        <w:t>Ripetere l'audit di visibilità sugli assistenti conversazionali con credenziali complete su tutti gli assistenti testati, per avere una baseline reale sui tre segmenti oggi non misurabili</w:t>
      </w:r>
    </w:p>
    <w:p>
      <w:pPr>
        <w:spacing w:before="160" w:after="40"/>
      </w:pPr>
      <w:r>
        <w:rPr>
          <w:b/>
          <w:color w:val="2F5D62"/>
          <w:sz w:val="24"/>
        </w:rPr>
        <w:t>Azioni</w:t>
      </w:r>
    </w:p>
    <w:p>
      <w:r>
        <w:t>Il piano propone azioni su distribuzione, contenuti e presidio organico senza però disporre oggi di una baseline su quota diretta, costo di acquisizione per canale o conversione del motore di prenotazione: senza questi numeri, ogni valutazione di ritorno resterebbe un'stima e non una misura. La priorità operativa di governance, prima ancora che l'esecuzione dei canali, è quindi attivare gli accessi e gli strumenti di tracciamento (analytics del sito, console di ricerca, profilo Google dell'attività, motore di prenotazione) così da avere, al primo ciclo di reporting, una baseline su cui ancorare i target oggi assenti.</w:t>
      </w:r>
    </w:p>
    <w:p>
      <w:r>
        <w:t>Il posizionamento organico oggi si regge su una sola query presidiata a fronte di un volume di domanda ampio non ancora intercettato: questo rende la scalata di posizione l'indicatore più concreto e verificabile del lavoro SEO, perché ha già una posizione di partenza nota. Da qui l'azione di monitoraggio mensile della posizione su questa query e delle query in gap a maggior volume, con revisione trimestrale della lista di priorità in base ai movimenti osservati.</w:t>
      </w:r>
    </w:p>
    <w:p>
      <w:r>
        <w:t>L'assenza di dati sulla visibilità della struttura sugli assistenti conversazionali per due terzi degli assistenti testati è un limite dichiarato dell'analisi, non un'assenza reale: comportarsi come se la struttura fosse invisibile su quei canali sarebbe un errore di lettura. L'azione di governance è quindi ripetere l'audit con credenziali valide prima di destinare budget a contenuti pensati specificamente per la citabilità AI, per non intervenire su una diagnosi incompleta.</w:t>
      </w:r>
    </w:p>
    <w:p>
      <w:r>
        <w:t>Il canale business/MICE non ha oggi alcun indicatore di conversione tracciato (nessun form strutturato, contatto solo su email e telefono generici): introdurre il form di richiesta preventivo previsto in sezione 03 crea per la prima volta un punto di misurazione — richieste ricevute, tempo di risposta, tasso di conversione in preventivo confermato — che oggi semplicemente non esiste e va costruito da zero.</w:t>
      </w:r>
    </w:p>
    <w:p>
      <w:pPr>
        <w:spacing w:before="160" w:after="40"/>
      </w:pPr>
      <w:r>
        <w:rPr>
          <w:b/>
          <w:color w:val="2F5D62"/>
          <w:sz w:val="24"/>
        </w:rPr>
        <w:t>KPI</w:t>
      </w:r>
    </w:p>
    <w:tbl>
      <w:tblPr>
        <w:tblStyle w:val="TableGrid"/>
        <w:tblW w:type="auto" w:w="0"/>
        <w:jc w:val="center"/>
        <w:tblLook w:firstColumn="1" w:firstRow="1" w:lastColumn="0" w:lastRow="0" w:noHBand="0" w:noVBand="1" w:val="04A0"/>
      </w:tblPr>
      <w:tblGrid>
        <w:gridCol w:w="2160"/>
        <w:gridCol w:w="2160"/>
        <w:gridCol w:w="2160"/>
        <w:gridCol w:w="2160"/>
      </w:tblGrid>
      <w:tr>
        <w:trPr>
          <w:tblHeader w:val="true"/>
        </w:trPr>
        <w:tc>
          <w:tcPr>
            <w:tcW w:type="dxa" w:w="2160"/>
            <w:shd w:val="clear" w:color="auto" w:fill="2F5D62"/>
          </w:tcPr>
          <w:p>
            <w:r>
              <w:rPr>
                <w:b/>
                <w:color w:val="FFFFFF"/>
                <w:sz w:val="19"/>
              </w:rPr>
              <w:t>KPI</w:t>
            </w:r>
          </w:p>
        </w:tc>
        <w:tc>
          <w:tcPr>
            <w:tcW w:type="dxa" w:w="2160"/>
            <w:shd w:val="clear" w:color="auto" w:fill="2F5D62"/>
          </w:tcPr>
          <w:p>
            <w:r>
              <w:rPr>
                <w:b/>
                <w:color w:val="FFFFFF"/>
                <w:sz w:val="19"/>
              </w:rPr>
              <w:t>Baseline</w:t>
            </w:r>
          </w:p>
        </w:tc>
        <w:tc>
          <w:tcPr>
            <w:tcW w:type="dxa" w:w="2160"/>
            <w:shd w:val="clear" w:color="auto" w:fill="2F5D62"/>
          </w:tcPr>
          <w:p>
            <w:r>
              <w:rPr>
                <w:b/>
                <w:color w:val="FFFFFF"/>
                <w:sz w:val="19"/>
              </w:rPr>
              <w:t>Target / obiettivo</w:t>
            </w:r>
          </w:p>
        </w:tc>
        <w:tc>
          <w:tcPr>
            <w:tcW w:type="dxa" w:w="2160"/>
            <w:shd w:val="clear" w:color="auto" w:fill="2F5D62"/>
          </w:tcPr>
          <w:p>
            <w:r>
              <w:rPr>
                <w:b/>
                <w:color w:val="FFFFFF"/>
                <w:sz w:val="19"/>
              </w:rPr>
              <w:t>Cadenza di rilevazione</w:t>
            </w:r>
          </w:p>
        </w:tc>
      </w:tr>
      <w:tr>
        <w:tc>
          <w:tcPr>
            <w:tcW w:type="dxa" w:w="2160"/>
          </w:tcPr>
          <w:p>
            <w:r>
              <w:rPr>
                <w:sz w:val="19"/>
              </w:rPr>
              <w:t>Quota prenotazioni dirette per canale</w:t>
            </w:r>
          </w:p>
        </w:tc>
        <w:tc>
          <w:tcPr>
            <w:tcW w:type="dxa" w:w="2160"/>
          </w:tcPr>
          <w:p>
            <w:r>
              <w:rPr>
                <w:sz w:val="19"/>
              </w:rPr>
              <w:t>non disponibile</w:t>
            </w:r>
          </w:p>
        </w:tc>
        <w:tc>
          <w:tcPr>
            <w:tcW w:type="dxa" w:w="2160"/>
          </w:tcPr>
          <w:p>
            <w:r>
              <w:rPr>
                <w:sz w:val="19"/>
              </w:rPr>
              <w:t>obiettivo di processo: attivare il tracciamento</w:t>
            </w:r>
          </w:p>
        </w:tc>
        <w:tc>
          <w:tcPr>
            <w:tcW w:type="dxa" w:w="2160"/>
          </w:tcPr>
          <w:p>
            <w:r>
              <w:rPr>
                <w:sz w:val="19"/>
              </w:rPr>
              <w:t>mensile, da attivazione</w:t>
            </w:r>
          </w:p>
        </w:tc>
      </w:tr>
      <w:tr>
        <w:tc>
          <w:tcPr>
            <w:tcW w:type="dxa" w:w="2160"/>
            <w:shd w:val="clear" w:color="auto" w:fill="EEF2F1"/>
          </w:tcPr>
          <w:p>
            <w:r>
              <w:rPr>
                <w:sz w:val="19"/>
              </w:rPr>
              <w:t>Posizione query a maggior volume del comparto</w:t>
            </w:r>
          </w:p>
        </w:tc>
        <w:tc>
          <w:tcPr>
            <w:tcW w:type="dxa" w:w="2160"/>
            <w:shd w:val="clear" w:color="auto" w:fill="EEF2F1"/>
          </w:tcPr>
          <w:p>
            <w:r>
              <w:rPr>
                <w:sz w:val="19"/>
              </w:rPr>
              <w:t>posizione 8</w:t>
            </w:r>
          </w:p>
        </w:tc>
        <w:tc>
          <w:tcPr>
            <w:tcW w:type="dxa" w:w="2160"/>
            <w:shd w:val="clear" w:color="auto" w:fill="EEF2F1"/>
          </w:tcPr>
          <w:p>
            <w:r>
              <w:rPr>
                <w:sz w:val="19"/>
              </w:rPr>
              <w:t>rientro in top 3 su orizzonte di più cicli (v. sez. 03)</w:t>
            </w:r>
          </w:p>
        </w:tc>
        <w:tc>
          <w:tcPr>
            <w:tcW w:type="dxa" w:w="2160"/>
            <w:shd w:val="clear" w:color="auto" w:fill="EEF2F1"/>
          </w:tcPr>
          <w:p>
            <w:r>
              <w:rPr>
                <w:sz w:val="19"/>
              </w:rPr>
              <w:t>mensile</w:t>
            </w:r>
          </w:p>
        </w:tc>
      </w:tr>
      <w:tr>
        <w:tc>
          <w:tcPr>
            <w:tcW w:type="dxa" w:w="2160"/>
          </w:tcPr>
          <w:p>
            <w:r>
              <w:rPr>
                <w:sz w:val="19"/>
              </w:rPr>
              <w:t>Query in gap intercettate in top 10</w:t>
            </w:r>
          </w:p>
        </w:tc>
        <w:tc>
          <w:tcPr>
            <w:tcW w:type="dxa" w:w="2160"/>
          </w:tcPr>
          <w:p>
            <w:r>
              <w:rPr>
                <w:sz w:val="19"/>
              </w:rPr>
              <w:t>1 su 27 presidiata</w:t>
            </w:r>
          </w:p>
        </w:tc>
        <w:tc>
          <w:tcPr>
            <w:tcW w:type="dxa" w:w="2160"/>
          </w:tcPr>
          <w:p>
            <w:r>
              <w:rPr>
                <w:sz w:val="19"/>
              </w:rPr>
              <w:t>incremento progressivo, revisione priorità trimestrale</w:t>
            </w:r>
          </w:p>
        </w:tc>
        <w:tc>
          <w:tcPr>
            <w:tcW w:type="dxa" w:w="2160"/>
          </w:tcPr>
          <w:p>
            <w:r>
              <w:rPr>
                <w:sz w:val="19"/>
              </w:rPr>
              <w:t>trimestrale</w:t>
            </w:r>
          </w:p>
        </w:tc>
      </w:tr>
      <w:tr>
        <w:tc>
          <w:tcPr>
            <w:tcW w:type="dxa" w:w="2160"/>
            <w:shd w:val="clear" w:color="auto" w:fill="EEF2F1"/>
          </w:tcPr>
          <w:p>
            <w:r>
              <w:rPr>
                <w:sz w:val="19"/>
              </w:rPr>
              <w:t>Richieste RFP business/MICE ricevute e convertite</w:t>
            </w:r>
          </w:p>
        </w:tc>
        <w:tc>
          <w:tcPr>
            <w:tcW w:type="dxa" w:w="2160"/>
            <w:shd w:val="clear" w:color="auto" w:fill="EEF2F1"/>
          </w:tcPr>
          <w:p>
            <w:r>
              <w:rPr>
                <w:sz w:val="19"/>
              </w:rPr>
              <w:t>non disponibile (canale da creare)</w:t>
            </w:r>
          </w:p>
        </w:tc>
        <w:tc>
          <w:tcPr>
            <w:tcW w:type="dxa" w:w="2160"/>
            <w:shd w:val="clear" w:color="auto" w:fill="EEF2F1"/>
          </w:tcPr>
          <w:p>
            <w:r>
              <w:rPr>
                <w:sz w:val="19"/>
              </w:rPr>
              <w:t>obiettivo di processo: impostare la misurazione da lancio form</w:t>
            </w:r>
          </w:p>
        </w:tc>
        <w:tc>
          <w:tcPr>
            <w:tcW w:type="dxa" w:w="2160"/>
            <w:shd w:val="clear" w:color="auto" w:fill="EEF2F1"/>
          </w:tcPr>
          <w:p>
            <w:r>
              <w:rPr>
                <w:sz w:val="19"/>
              </w:rPr>
              <w:t>mensile, da attivazione</w:t>
            </w:r>
          </w:p>
        </w:tc>
      </w:tr>
      <w:tr>
        <w:tc>
          <w:tcPr>
            <w:tcW w:type="dxa" w:w="2160"/>
          </w:tcPr>
          <w:p>
            <w:r>
              <w:rPr>
                <w:sz w:val="19"/>
              </w:rPr>
              <w:t>Copertura audit visibilità su assistenti conversazionali</w:t>
            </w:r>
          </w:p>
        </w:tc>
        <w:tc>
          <w:tcPr>
            <w:tcW w:type="dxa" w:w="2160"/>
          </w:tcPr>
          <w:p>
            <w:r>
              <w:rPr>
                <w:sz w:val="19"/>
              </w:rPr>
              <w:t>1 assistente su 3 misurato</w:t>
            </w:r>
          </w:p>
        </w:tc>
        <w:tc>
          <w:tcPr>
            <w:tcW w:type="dxa" w:w="2160"/>
          </w:tcPr>
          <w:p>
            <w:r>
              <w:rPr>
                <w:sz w:val="19"/>
              </w:rPr>
              <w:t>misurazione completa sui 3 assistenti con credenziali valide</w:t>
            </w:r>
          </w:p>
        </w:tc>
        <w:tc>
          <w:tcPr>
            <w:tcW w:type="dxa" w:w="2160"/>
          </w:tcPr>
          <w:p>
            <w:r>
              <w:rPr>
                <w:sz w:val="19"/>
              </w:rPr>
              <w:t>una tantum, poi semestrale</w:t>
            </w:r>
          </w:p>
        </w:tc>
      </w:tr>
      <w:tr>
        <w:tc>
          <w:tcPr>
            <w:tcW w:type="dxa" w:w="2160"/>
            <w:shd w:val="clear" w:color="auto" w:fill="EEF2F1"/>
          </w:tcPr>
          <w:p>
            <w:r>
              <w:rPr>
                <w:sz w:val="19"/>
              </w:rPr>
              <w:t>Punteggi medi di reputazione per piattaforma</w:t>
            </w:r>
          </w:p>
        </w:tc>
        <w:tc>
          <w:tcPr>
            <w:tcW w:type="dxa" w:w="2160"/>
            <w:shd w:val="clear" w:color="auto" w:fill="EEF2F1"/>
          </w:tcPr>
          <w:p>
            <w:r>
              <w:rPr>
                <w:sz w:val="19"/>
              </w:rPr>
              <w:t>4,23/5 aggregato (v. scheda numeri)</w:t>
            </w:r>
          </w:p>
        </w:tc>
        <w:tc>
          <w:tcPr>
            <w:tcW w:type="dxa" w:w="2160"/>
            <w:shd w:val="clear" w:color="auto" w:fill="EEF2F1"/>
          </w:tcPr>
          <w:p>
            <w:r>
              <w:rPr>
                <w:sz w:val="19"/>
              </w:rPr>
              <w:t>monitoraggio di tendenza, nessun salto atteso nel breve periodo</w:t>
            </w:r>
          </w:p>
        </w:tc>
        <w:tc>
          <w:tcPr>
            <w:tcW w:type="dxa" w:w="2160"/>
            <w:shd w:val="clear" w:color="auto" w:fill="EEF2F1"/>
          </w:tcPr>
          <w:p>
            <w:r>
              <w:rPr>
                <w:sz w:val="19"/>
              </w:rPr>
              <w:t>trimestrale</w:t>
            </w:r>
          </w:p>
        </w:tc>
      </w:tr>
      <w:tr>
        <w:tc>
          <w:tcPr>
            <w:tcW w:type="dxa" w:w="2160"/>
          </w:tcPr>
          <w:p>
            <w:r>
              <w:rPr>
                <w:sz w:val="19"/>
              </w:rPr>
              <w:t>Costo di acquisizione e ritorno per canale (diretto vs intermediato)</w:t>
            </w:r>
          </w:p>
        </w:tc>
        <w:tc>
          <w:tcPr>
            <w:tcW w:type="dxa" w:w="2160"/>
          </w:tcPr>
          <w:p>
            <w:r>
              <w:rPr>
                <w:sz w:val="19"/>
              </w:rPr>
              <w:t>non disponibile</w:t>
            </w:r>
          </w:p>
        </w:tc>
        <w:tc>
          <w:tcPr>
            <w:tcW w:type="dxa" w:w="2160"/>
          </w:tcPr>
          <w:p>
            <w:r>
              <w:rPr>
                <w:sz w:val="19"/>
              </w:rPr>
              <w:t>obiettivo di processo: raccogliere i dati storici col cliente</w:t>
            </w:r>
          </w:p>
        </w:tc>
        <w:tc>
          <w:tcPr>
            <w:tcW w:type="dxa" w:w="2160"/>
          </w:tcPr>
          <w:p>
            <w:r>
              <w:rPr>
                <w:sz w:val="19"/>
              </w:rPr>
              <w:t>da impostare, poi mensile</w:t>
            </w:r>
          </w:p>
        </w:tc>
      </w:tr>
    </w:tbl>
    <w:p>
      <w:pPr>
        <w:spacing w:after="160"/>
      </w:pPr>
    </w:p>
    <w:p>
      <w:pPr>
        <w:spacing w:before="160" w:after="40"/>
      </w:pPr>
      <w:r>
        <w:rPr>
          <w:b/>
          <w:color w:val="2F5D62"/>
          <w:sz w:val="24"/>
        </w:rPr>
        <w:t>Note esecutive</w:t>
      </w:r>
    </w:p>
    <w:p>
      <w:pPr>
        <w:pStyle w:val="ListBullet"/>
      </w:pPr>
      <w:r>
        <w:t>I benchmark di costo di acquisizione e ritorno su investimento pubblicitario citati nella scheda numeri sono riferimenti di settore da validare caso per caso: non vanno trattati come target assegnati alla struttura finché non esiste una baseline propria.</w:t>
      </w:r>
    </w:p>
    <w:p>
      <w:pPr>
        <w:pStyle w:val="ListBullet"/>
      </w:pPr>
      <w:r>
        <w:t>I punteggi medi di piattaforma sono medie cumulate su centinaia di recensioni e si muovono lentamente: la cadenza trimestrale di lettura serve a cogliere una tendenza, non una variazione mese su mese.</w:t>
      </w:r>
    </w:p>
    <w:p>
      <w:pPr>
        <w:pStyle w:val="ListBullet"/>
      </w:pPr>
      <w:r>
        <w:t>La responsabilità di governance di questa sezione è duplice: da un lato attivare gli strumenti di misura oggi mancanti, dall'altro evitare di costruire target numerici dove la baseline non esiste, per mantenere il cruscotto credibile e verificabile nel tempo.</w:t>
      </w:r>
    </w:p>
    <w:p>
      <w:r>
        <w:br w:type="page"/>
      </w:r>
    </w:p>
    <w:p>
      <w:pPr>
        <w:spacing w:after="0"/>
      </w:pPr>
      <w:r>
        <w:rPr>
          <w:b/>
          <w:color w:val="2F5D62"/>
          <w:sz w:val="18"/>
        </w:rPr>
        <w:t>SEZIONE 07</w:t>
      </w:r>
    </w:p>
    <w:p>
      <w:pPr>
        <w:spacing w:after="200"/>
        <w:pBdr>
          <w:bottom w:val="single" w:sz="18" w:space="6" w:color="2F5D62"/>
        </w:pBdr>
      </w:pPr>
      <w:r>
        <w:rPr>
          <w:b/>
          <w:color w:val="1A1A2E"/>
          <w:sz w:val="40"/>
        </w:rPr>
        <w:t>Budget (ripartizione %)</w:t>
      </w:r>
    </w:p>
    <w:p>
      <w:pPr>
        <w:spacing w:before="160" w:after="40"/>
      </w:pPr>
      <w:r>
        <w:rPr>
          <w:b/>
          <w:color w:val="2F5D62"/>
          <w:sz w:val="24"/>
        </w:rPr>
        <w:t>Ripartizione del budget (%, decision record)</w:t>
      </w:r>
    </w:p>
    <w:p>
      <w:r>
        <w:t>Budget marketing indicativo: 3-4% del ricavo (stadio: maturità). Ripartizione % per canale; gli importi in euro sono nell'allegato economico a cura dell'agenzia.</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Canale</w:t>
            </w:r>
          </w:p>
        </w:tc>
        <w:tc>
          <w:tcPr>
            <w:tcW w:type="dxa" w:w="2880"/>
            <w:shd w:val="clear" w:color="auto" w:fill="2F5D62"/>
          </w:tcPr>
          <w:p>
            <w:r>
              <w:rPr>
                <w:b/>
                <w:color w:val="FFFFFF"/>
                <w:sz w:val="19"/>
              </w:rPr>
              <w:t>Ripartizione %</w:t>
            </w:r>
          </w:p>
        </w:tc>
        <w:tc>
          <w:tcPr>
            <w:tcW w:type="dxa" w:w="2880"/>
            <w:shd w:val="clear" w:color="auto" w:fill="2F5D62"/>
          </w:tcPr>
          <w:p>
            <w:r>
              <w:rPr>
                <w:b/>
                <w:color w:val="FFFFFF"/>
                <w:sz w:val="19"/>
              </w:rPr>
              <w:t>Verdetto</w:t>
            </w:r>
          </w:p>
        </w:tc>
      </w:tr>
      <w:tr>
        <w:tc>
          <w:tcPr>
            <w:tcW w:type="dxa" w:w="2880"/>
          </w:tcPr>
          <w:p>
            <w:r>
              <w:rPr>
                <w:sz w:val="19"/>
              </w:rPr>
              <w:t>SEO organico</w:t>
            </w:r>
          </w:p>
        </w:tc>
        <w:tc>
          <w:tcPr>
            <w:tcW w:type="dxa" w:w="2880"/>
          </w:tcPr>
          <w:p>
            <w:r>
              <w:rPr>
                <w:sz w:val="19"/>
              </w:rPr>
              <w:t>15-25%</w:t>
            </w:r>
          </w:p>
        </w:tc>
        <w:tc>
          <w:tcPr>
            <w:tcW w:type="dxa" w:w="2880"/>
          </w:tcPr>
          <w:p>
            <w:r>
              <w:rPr>
                <w:sz w:val="19"/>
              </w:rPr>
              <w:t>Attivare (prioritario)</w:t>
            </w:r>
          </w:p>
        </w:tc>
      </w:tr>
      <w:tr>
        <w:tc>
          <w:tcPr>
            <w:tcW w:type="dxa" w:w="2880"/>
            <w:shd w:val="clear" w:color="auto" w:fill="EEF2F1"/>
          </w:tcPr>
          <w:p>
            <w:r>
              <w:rPr>
                <w:sz w:val="19"/>
              </w:rPr>
              <w:t>Search advertising (Google Ads)</w:t>
            </w:r>
          </w:p>
        </w:tc>
        <w:tc>
          <w:tcPr>
            <w:tcW w:type="dxa" w:w="2880"/>
            <w:shd w:val="clear" w:color="auto" w:fill="EEF2F1"/>
          </w:tcPr>
          <w:p>
            <w:r>
              <w:rPr>
                <w:sz w:val="19"/>
              </w:rPr>
              <w:t>30-40%</w:t>
            </w:r>
          </w:p>
        </w:tc>
        <w:tc>
          <w:tcPr>
            <w:tcW w:type="dxa" w:w="2880"/>
            <w:shd w:val="clear" w:color="auto" w:fill="EEF2F1"/>
          </w:tcPr>
          <w:p>
            <w:r>
              <w:rPr>
                <w:sz w:val="19"/>
              </w:rPr>
              <w:t>Attivare (stagionale)</w:t>
            </w:r>
          </w:p>
        </w:tc>
      </w:tr>
      <w:tr>
        <w:tc>
          <w:tcPr>
            <w:tcW w:type="dxa" w:w="2880"/>
          </w:tcPr>
          <w:p>
            <w:r>
              <w:rPr>
                <w:sz w:val="19"/>
              </w:rPr>
              <w:t>Sito &amp; booking diretto</w:t>
            </w:r>
          </w:p>
        </w:tc>
        <w:tc>
          <w:tcPr>
            <w:tcW w:type="dxa" w:w="2880"/>
          </w:tcPr>
          <w:p>
            <w:r>
              <w:rPr>
                <w:sz w:val="19"/>
              </w:rPr>
              <w:t>15-25%</w:t>
            </w:r>
          </w:p>
        </w:tc>
        <w:tc>
          <w:tcPr>
            <w:tcW w:type="dxa" w:w="2880"/>
          </w:tcPr>
          <w:p>
            <w:r>
              <w:rPr>
                <w:sz w:val="19"/>
              </w:rPr>
              <w:t>Attivare (prioritario)</w:t>
            </w:r>
          </w:p>
        </w:tc>
      </w:tr>
      <w:tr>
        <w:tc>
          <w:tcPr>
            <w:tcW w:type="dxa" w:w="2880"/>
            <w:shd w:val="clear" w:color="auto" w:fill="EEF2F1"/>
          </w:tcPr>
          <w:p>
            <w:r>
              <w:rPr>
                <w:sz w:val="19"/>
              </w:rPr>
              <w:t>Social organico</w:t>
            </w:r>
          </w:p>
        </w:tc>
        <w:tc>
          <w:tcPr>
            <w:tcW w:type="dxa" w:w="2880"/>
            <w:shd w:val="clear" w:color="auto" w:fill="EEF2F1"/>
          </w:tcPr>
          <w:p>
            <w:r>
              <w:rPr>
                <w:sz w:val="19"/>
              </w:rPr>
              <w:t>15-25%</w:t>
            </w:r>
          </w:p>
        </w:tc>
        <w:tc>
          <w:tcPr>
            <w:tcW w:type="dxa" w:w="2880"/>
            <w:shd w:val="clear" w:color="auto" w:fill="EEF2F1"/>
          </w:tcPr>
          <w:p>
            <w:r>
              <w:rPr>
                <w:sz w:val="19"/>
              </w:rPr>
              <w:t>Rafforzare</w:t>
            </w:r>
          </w:p>
        </w:tc>
      </w:tr>
      <w:tr>
        <w:tc>
          <w:tcPr>
            <w:tcW w:type="dxa" w:w="2880"/>
          </w:tcPr>
          <w:p>
            <w:r>
              <w:rPr>
                <w:sz w:val="19"/>
              </w:rPr>
              <w:t>Email &amp; CRM</w:t>
            </w:r>
          </w:p>
        </w:tc>
        <w:tc>
          <w:tcPr>
            <w:tcW w:type="dxa" w:w="2880"/>
          </w:tcPr>
          <w:p>
            <w:r>
              <w:rPr>
                <w:sz w:val="19"/>
              </w:rPr>
              <w:t>10-15%</w:t>
            </w:r>
          </w:p>
        </w:tc>
        <w:tc>
          <w:tcPr>
            <w:tcW w:type="dxa" w:w="2880"/>
          </w:tcPr>
          <w:p>
            <w:r>
              <w:rPr>
                <w:sz w:val="19"/>
              </w:rPr>
              <w:t>Attivare</w:t>
            </w:r>
          </w:p>
        </w:tc>
      </w:tr>
      <w:tr>
        <w:tc>
          <w:tcPr>
            <w:tcW w:type="dxa" w:w="2880"/>
            <w:shd w:val="clear" w:color="auto" w:fill="EEF2F1"/>
          </w:tcPr>
          <w:p>
            <w:r>
              <w:rPr>
                <w:sz w:val="19"/>
              </w:rPr>
              <w:t>Mercato DACH (area di lingua tedesca)</w:t>
            </w:r>
          </w:p>
        </w:tc>
        <w:tc>
          <w:tcPr>
            <w:tcW w:type="dxa" w:w="2880"/>
            <w:shd w:val="clear" w:color="auto" w:fill="EEF2F1"/>
          </w:tcPr>
          <w:p>
            <w:r>
              <w:rPr>
                <w:sz w:val="19"/>
              </w:rPr>
              <w:t>10-15%</w:t>
            </w:r>
          </w:p>
        </w:tc>
        <w:tc>
          <w:tcPr>
            <w:tcW w:type="dxa" w:w="2880"/>
            <w:shd w:val="clear" w:color="auto" w:fill="EEF2F1"/>
          </w:tcPr>
          <w:p>
            <w:r>
              <w:rPr>
                <w:sz w:val="19"/>
              </w:rPr>
              <w:t>Attivare</w:t>
            </w:r>
          </w:p>
        </w:tc>
      </w:tr>
      <w:tr>
        <w:tc>
          <w:tcPr>
            <w:tcW w:type="dxa" w:w="2880"/>
          </w:tcPr>
          <w:p>
            <w:r>
              <w:rPr>
                <w:sz w:val="19"/>
              </w:rPr>
              <w:t>Segmento business / MICE</w:t>
            </w:r>
          </w:p>
        </w:tc>
        <w:tc>
          <w:tcPr>
            <w:tcW w:type="dxa" w:w="2880"/>
          </w:tcPr>
          <w:p>
            <w:r>
              <w:rPr>
                <w:sz w:val="19"/>
              </w:rPr>
              <w:t>5-10%</w:t>
            </w:r>
          </w:p>
        </w:tc>
        <w:tc>
          <w:tcPr>
            <w:tcW w:type="dxa" w:w="2880"/>
          </w:tcPr>
          <w:p>
            <w:r>
              <w:rPr>
                <w:sz w:val="19"/>
              </w:rPr>
              <w:t>Attivare</w:t>
            </w:r>
          </w:p>
        </w:tc>
      </w:tr>
      <w:tr>
        <w:tc>
          <w:tcPr>
            <w:tcW w:type="dxa" w:w="2880"/>
            <w:shd w:val="clear" w:color="auto" w:fill="EEF2F1"/>
          </w:tcPr>
          <w:p>
            <w:r>
              <w:rPr>
                <w:sz w:val="19"/>
              </w:rPr>
              <w:t>Local &amp; Google Business Profile</w:t>
            </w:r>
          </w:p>
        </w:tc>
        <w:tc>
          <w:tcPr>
            <w:tcW w:type="dxa" w:w="2880"/>
            <w:shd w:val="clear" w:color="auto" w:fill="EEF2F1"/>
          </w:tcPr>
          <w:p>
            <w:r>
              <w:rPr>
                <w:sz w:val="19"/>
              </w:rPr>
              <w:t>15-25%</w:t>
            </w:r>
          </w:p>
        </w:tc>
        <w:tc>
          <w:tcPr>
            <w:tcW w:type="dxa" w:w="2880"/>
            <w:shd w:val="clear" w:color="auto" w:fill="EEF2F1"/>
          </w:tcPr>
          <w:p>
            <w:r>
              <w:rPr>
                <w:sz w:val="19"/>
              </w:rPr>
              <w:t>Attivare</w:t>
            </w:r>
          </w:p>
        </w:tc>
      </w:tr>
    </w:tbl>
    <w:p>
      <w:pPr>
        <w:spacing w:after="160"/>
      </w:pPr>
    </w:p>
    <w:p>
      <w:r>
        <w:t>Riferimenti di settore (agency/vendor, da validare sui dati reali del cliente — la ripartizione operativa resta quella della tabella qui sopra): search e metasearch dal 30% al 40%; social e video dal 15% al 25%; SEO, contenuti e presenza locale dal 15% al 25%; email e CRM dal 10% al 15%; display e retargeting dal 5% al 10%; riallocazione trimestrale dal 10% al 20% in base ai risultati per canale.</w:t>
      </w:r>
    </w:p>
    <w:p>
      <w:r>
        <w:t>La ripartizione non è un esercizio contabile: è la traduzione in risorse della matrice di canale già fissata in sez. 03. Il criterio guida è sequenziale, non paritario: prima si finanzia ciò che sblocca la visibilità strutturale (SEO/content/local e i dati strutturati del sito), poi si accende il traffico a pagamento su ciò che quella visibilità può già convertire (search &amp; metasearch), poi si consolida la relazione con chi ha già soggiornato (email/CRM). Il display resta una quota sperimentale da attivare solo dopo che i primi tre livelli mostrano segnali misurabili, non un canale da presidiare fin da subito a parità di peso.</w:t>
      </w:r>
    </w:p>
    <w:p>
      <w:pPr>
        <w:spacing w:before="160" w:after="40"/>
      </w:pPr>
      <w:r>
        <w:rPr>
          <w:b/>
          <w:color w:val="2F5D62"/>
          <w:sz w:val="24"/>
        </w:rPr>
        <w:t>Obiettivi misurabili</w:t>
      </w:r>
    </w:p>
    <w:p>
      <w:pPr>
        <w:pStyle w:val="ListBullet"/>
      </w:pPr>
      <w:r>
        <w:t>Portare la quota SEO/content/local a piena capacità nel trimestre di minor pressione commerciale, in coerenza con l'implementazione dei dati strutturati già pianificata in roadmap (v. sez. 05)</w:t>
      </w:r>
    </w:p>
    <w:p>
      <w:pPr>
        <w:pStyle w:val="ListBullet"/>
      </w:pPr>
      <w:r>
        <w:t>Attivare la quota search &amp; metasearch in corrispondenza dell'apertura delle finestre di prenotazione per segmento, non a calendario fisso (v. sez. 04-05)</w:t>
      </w:r>
    </w:p>
    <w:p>
      <w:pPr>
        <w:pStyle w:val="ListBullet"/>
      </w:pPr>
      <w:r>
        <w:t>Impostare un ciclo trimestrale di rilettura della ripartizione su base performance (obiettivo di processo: la baseline di CAC/ROAS per canale non è oggi disponibile, v. sez. 08)</w:t>
      </w:r>
    </w:p>
    <w:p>
      <w:pPr>
        <w:spacing w:before="160" w:after="40"/>
      </w:pPr>
      <w:r>
        <w:rPr>
          <w:b/>
          <w:color w:val="2F5D62"/>
          <w:sz w:val="24"/>
        </w:rPr>
        <w:t>Azioni</w:t>
      </w:r>
    </w:p>
    <w:p>
      <w:r>
        <w:t>Il gap di visibilità organica è già stato quantificato in sez. 03 e resta la priorità di spesa: senza intervenire prima su SEO/content/local e sui dati strutturati mancanti, ogni euro speso su search a pagamento lavora su una base debole, perché il non-brand ad alto volume resta fuori dalla prima pagina e il traffico a pagamento non compensa da solo un posizionamento organico assente. L'azione è vincolare la quota più alta della fascia SEO/content/local (15-25%) ai mesi di apertura del cantiere digitale indicati in roadmap, prima di aprire le campagne a pagamento sulla stessa domanda.</w:t>
      </w:r>
    </w:p>
    <w:p>
      <w:r>
        <w:t>Il mix di clientela reale vede coppie e famiglie come i due pubblici più consistenti (v. sez. 02): questo giustifica il peso assegnato a social &amp; video, ma solo a condizione che i contenuti pubblicati parlino il linguaggio di prodotto della struttura (formule, piano famiglia, spiaggia inclusa) e non messaggi generici. L'azione è destinare la quota social alla produzione di contenuti segmentati per pubblico (famiglia, coppia) prima di spingere in amplificazione a pagamento, per evitare di finanziare la distribuzione di un messaggio ancora indifferenziato.</w:t>
      </w:r>
    </w:p>
    <w:p>
      <w:r>
        <w:t>Il canale MICE/business, già individuato come leva da strutturare in sez. 03-04, non richiede una voce di budget dedicata separata: si finanzia attraverso la quota SEO/content/local (per il form RFP e i contenuti di sala) e attraverso email/CRM per il B2B già acquisito. L'azione è instradare qui la produzione di contenuti e strumenti per il segmento business, senza aprire una riga di budget aggiuntiva non prevista dalla tabella.</w:t>
      </w:r>
    </w:p>
    <w:p>
      <w:r>
        <w:t>La quota email/CRM, pur minoritaria in percentuale, ha una priorità temporale alta: la ripartizione stagionale della roadmap (v. sez. 05) impone di attivare la comunicazione verso gli ospiti già acquisiti prima dell'apertura delle finestre di prenotazione dei segmenti leisure. L'azione è anticipare l'impegno su questa voce rispetto a search &amp; metasearch, anche a parità di percentuale nominale, per intercettare la domanda di chi prenota con largo anticipo.</w:t>
      </w:r>
    </w:p>
    <w:p>
      <w:r>
        <w:t>La quota display/retargeting resta la più esposta a riallocazione: senza una baseline di CAC/ROAS per canale (input mancante, v. sez. 08) non è possibile motivarne un incremento. L'azione è mantenerla nella fascia bassa del range fino a quando il ciclo trimestrale di rilettura non produce evidenze sufficienti a giustificare uno spostamento, spostamento che resta comunque interno alle voci già presenti in tabella.</w:t>
      </w:r>
    </w:p>
    <w:p>
      <w:pPr>
        <w:spacing w:before="160" w:after="40"/>
      </w:pPr>
      <w:r>
        <w:rPr>
          <w:b/>
          <w:color w:val="2F5D62"/>
          <w:sz w:val="24"/>
        </w:rPr>
        <w:t>KPI</w:t>
      </w:r>
    </w:p>
    <w:p>
      <w:pPr>
        <w:pStyle w:val="ListBullet"/>
      </w:pPr>
      <w:r>
        <w:t>V. sez. 06 per il set di KPI di controllo e i relativi orizzonti di misurazione</w:t>
      </w:r>
    </w:p>
    <w:p>
      <w:pPr>
        <w:spacing w:before="160" w:after="40"/>
      </w:pPr>
      <w:r>
        <w:rPr>
          <w:b/>
          <w:color w:val="2F5D62"/>
          <w:sz w:val="24"/>
        </w:rPr>
        <w:t>Note esecutive</w:t>
      </w:r>
    </w:p>
    <w:p>
      <w:pPr>
        <w:pStyle w:val="ListBullet"/>
      </w:pPr>
      <w:r>
        <w:t>La ripartizione è percentuale e riferita al solo budget digitale attivabile; l'importo assoluto e la componente tradizionale restano fuori da questo piano (v. sez. 08 per gli input mancanti)</w:t>
      </w:r>
    </w:p>
    <w:p>
      <w:pPr>
        <w:pStyle w:val="ListBullet"/>
      </w:pPr>
      <w:r>
        <w:t>Ogni riallocazione trimestrale si muove esclusivamente tra le cinque voci già presenti in tabella: non introduce nuovi canali</w:t>
      </w:r>
    </w:p>
    <w:p>
      <w:pPr>
        <w:pStyle w:val="ListBullet"/>
      </w:pPr>
      <w:r>
        <w:t>Le metriche tariffarie e di rendimento restano di competenza della struttura: questo piano non tocca prezzi e listini se non come vetrina</w:t>
      </w:r>
    </w:p>
    <w:p>
      <w:r>
        <w:br w:type="page"/>
      </w:r>
    </w:p>
    <w:p>
      <w:pPr>
        <w:spacing w:after="0"/>
      </w:pPr>
      <w:r>
        <w:rPr>
          <w:b/>
          <w:color w:val="2F5D62"/>
          <w:sz w:val="18"/>
        </w:rPr>
        <w:t>APPENDICE</w:t>
      </w:r>
    </w:p>
    <w:p>
      <w:pPr>
        <w:spacing w:after="200"/>
        <w:pBdr>
          <w:bottom w:val="single" w:sz="18" w:space="6" w:color="2F5D62"/>
        </w:pBdr>
      </w:pPr>
      <w:r>
        <w:rPr>
          <w:b/>
          <w:color w:val="1A1A2E"/>
          <w:sz w:val="40"/>
        </w:rPr>
        <w:t>Assunzioni &amp; input mancanti</w:t>
      </w:r>
    </w:p>
    <w:p>
      <w:r>
        <w:t>Questo piano è costruito interamente su dati reali dell'analisi diagnostica: reputazione multi-piattaforma, mix di clientela, domanda di ricerca e connettività aerea. Dove il piano si appoggia a un riferimento di settore o segnala un dato ancora da acquisire, questo box lo rende esplicito e tracciabile, così da separare con nettezza ciò che è già evidenza cliente da ciò che resta ipotesi o input da raccogliere prima di tarare obiettivi numerici più stringenti. Nessuna cifra economica assoluta compare nel piano al di fuori di questa sezione: il budget è trattato altrove come ripartizione percentuale, e la proposta commerciale con gli importi resta un allegato separato a cura dell'agenzia.</w:t>
      </w:r>
    </w:p>
    <w:p>
      <w:pPr>
        <w:spacing w:before="160" w:after="40"/>
      </w:pPr>
      <w:r>
        <w:rPr>
          <w:b/>
          <w:color w:val="2F5D62"/>
          <w:sz w:val="24"/>
        </w:rPr>
        <w:t>Obiettivi misurabili</w:t>
      </w:r>
    </w:p>
    <w:p>
      <w:pPr>
        <w:pStyle w:val="ListBullet"/>
      </w:pPr>
      <w:r>
        <w:t>Raccogliere entro il primo trimestre operativo tutti gli input elencati in questa sezione, come precondizione per fissare target numerici su direct ratio, CAC e budget assoluto.</w:t>
      </w:r>
    </w:p>
    <w:p>
      <w:pPr>
        <w:pStyle w:val="ListBullet"/>
      </w:pPr>
      <w:r>
        <w:t>Ripetere l'audit sugli assistenti AI (Gemini e Perplexity) con credenziali valide, per completare il quadro oggi parziale (1 segmento su 4 misurato su OpenAI).</w:t>
      </w:r>
    </w:p>
    <w:p>
      <w:pPr>
        <w:spacing w:before="160" w:after="40"/>
      </w:pPr>
      <w:r>
        <w:rPr>
          <w:b/>
          <w:color w:val="2F5D62"/>
          <w:sz w:val="24"/>
        </w:rPr>
        <w:t>Azioni</w:t>
      </w:r>
    </w:p>
    <w:p>
      <w:r>
        <w:t>Il piano usa alcuni riferimenti di settore come sfondo per ragionare su ripartizione budget e canale diretto-vs-OTA, non come cifre del cliente: un CoA diretto nell'ordine del 4-5% del ricavo contro una commissione OTA nel 15-30%, un CAC diretto indicativamente 15-25€ contro 35-60€ per le OTA, un ROAS di riferimento intorno a 8:1 su brand/metasearch per indipendenti. Restano riferimenti da validare, non obiettivi certi né uguali per ogni struttura: senza il ricavo reale e lo storico prenotazioni del Mediterraneo, applicarli come target equivarrebbe a costruire il piano su una stima anziché su un dato. Prima di fissare qualunque soglia numerica su questi indicatori, va acquisito lo storico reale della struttura.</w:t>
      </w:r>
    </w:p>
    <w:p>
      <w:r>
        <w:t>La quota di prenotazioni dirette, il CAC storico per canale e il budget marketing effettivamente investito non sono oggi disponibili: senza questa baseline, ogni obiettivo sulla ripartizione diretto/OTA proposto nelle sezioni precedenti resta un obiettivo di processo (misurare, tracciare) e non un numero target. L'azione è impostare da subito, con il cliente, la raccolta di questi tre dati tramite il gestionale/PMS e gli storici di fatturazione OTA, così da poter fissare nel primo ciclo di revisione un target realistico e proprio della struttura.</w:t>
      </w:r>
    </w:p>
    <w:p>
      <w:r>
        <w:t>Le metriche tariffarie e di rendimento (in capo alla revenue management della struttura) non sono trattate in questo piano se non come input da raccogliere: occupazione, tariffa media e ricavo per camera disponibile restano di competenza della struttura e non vengono stimate né usate come base di calcolo qui. Vanno comunque richieste come dato di contesto, perché senza di esse anche la lettura dell'impatto commerciale delle azioni di marketing (spostamento di quota dal canale intermediato al diretto) resta parziale.</w:t>
      </w:r>
    </w:p>
    <w:p>
      <w:r>
        <w:t>Il calendario eventi locali (fiere di Rimini Fiera, eventi del Palazzo dei Congressi, manifestazioni sportive su Misano) non è stato fornito come dato strutturato: la roadmap ne assume la sovrapponibilità con i mesi di apertura indicati nel decision record, ma le date puntuali dei singoli eventi vanno acquisite dal cliente o dagli enti organizzatori per poter costruire le pagine di copertura fiera con contenuti e tempistiche precise, non generiche.</w:t>
      </w:r>
    </w:p>
    <w:p>
      <w:r>
        <w:t>Gli accessi diagnostici a Google Analytics 4, Search Console, Google Business Profile, motore di prenotazione e PMS non sono stati resi disponibili in questa fase: senza di essi non è possibile misurare conversioni, comportamento pre-prenotazione e qualità del funnel diretto, né validare i miglioramenti di visibilità organica proposti nella strategia di canale. La richiesta di accesso va formalizzata come primo passo tecnico, prima dell'avvio di qualunque campagna a pagamento.</w:t>
      </w:r>
    </w:p>
    <w:p>
      <w:r>
        <w:t>I dati di domanda di ricerca (keyword, volumi, posizioni) sono già presenti e utilizzati nel piano come ledger canonico dell'analisi diagnostica: non sono un input mancante. Un eventuale export più recente entrerà nel piano solo come delta datato rispetto a questa baseline, da confrontare esplicitamente con i valori già citati, non da sostituire silenziosamente. Restano invece da integrare i dati di traffico e conversione reale (Search Console, GA4), che il ledger keyword da solo non copre.</w:t>
      </w:r>
    </w:p>
    <w:p>
      <w:r>
        <w:t>L'audit sulla visibilità negli assistenti AI copre oggi solo un motore (OpenAI) su tre previsti, per un errore tecnico di credenziali sugli altri due (Gemini, Perplexity): l'assenza rilevata su tre segmenti su quattro va quindi letta come dato parziale, non come assenza confermata su tutto l'ecosistema AI. Ripetere l'audit con credenziali valide è precondizione per decidere investimenti mirati in contenuti AEO-specifici oltre ai fondamentali (dati strutturati) già pianificati.</w:t>
      </w:r>
    </w:p>
    <w:p>
      <w:r>
        <w:t>Non è disponibile alcun dato su rate parity diretto-vs-OTA sui principali metasearch (Google Hotel Ads, Trivago, Kayak): è un input critico e bloccante prima di attivare investimenti pubblicitari a supporto del canale diretto, perché un prezzo diretto disallineato in aumento vanificherebbe qualunque campagna. L'azione è eseguire questo audit di parity come primo passo tecnico del piano di canale, non come attività accessoria.</w:t>
      </w:r>
    </w:p>
    <w:p>
      <w:pPr>
        <w:spacing w:before="160" w:after="40"/>
      </w:pPr>
      <w:r>
        <w:rPr>
          <w:b/>
          <w:color w:val="2F5D62"/>
          <w:sz w:val="24"/>
        </w:rPr>
        <w:t>KPI</w:t>
      </w:r>
    </w:p>
    <w:tbl>
      <w:tblPr>
        <w:tblStyle w:val="TableGrid"/>
        <w:tblW w:type="auto" w:w="0"/>
        <w:jc w:val="center"/>
        <w:tblLook w:firstColumn="1" w:firstRow="1" w:lastColumn="0" w:lastRow="0" w:noHBand="0" w:noVBand="1" w:val="04A0"/>
      </w:tblPr>
      <w:tblGrid>
        <w:gridCol w:w="2880"/>
        <w:gridCol w:w="2880"/>
        <w:gridCol w:w="2880"/>
      </w:tblGrid>
      <w:tr>
        <w:trPr>
          <w:tblHeader w:val="true"/>
        </w:trPr>
        <w:tc>
          <w:tcPr>
            <w:tcW w:type="dxa" w:w="2880"/>
            <w:shd w:val="clear" w:color="auto" w:fill="2F5D62"/>
          </w:tcPr>
          <w:p>
            <w:r>
              <w:rPr>
                <w:b/>
                <w:color w:val="FFFFFF"/>
                <w:sz w:val="19"/>
              </w:rPr>
              <w:t>Input mancante</w:t>
            </w:r>
          </w:p>
        </w:tc>
        <w:tc>
          <w:tcPr>
            <w:tcW w:type="dxa" w:w="2880"/>
            <w:shd w:val="clear" w:color="auto" w:fill="2F5D62"/>
          </w:tcPr>
          <w:p>
            <w:r>
              <w:rPr>
                <w:b/>
                <w:color w:val="FFFFFF"/>
                <w:sz w:val="19"/>
              </w:rPr>
              <w:t>Perché serve</w:t>
            </w:r>
          </w:p>
        </w:tc>
        <w:tc>
          <w:tcPr>
            <w:tcW w:type="dxa" w:w="2880"/>
            <w:shd w:val="clear" w:color="auto" w:fill="2F5D62"/>
          </w:tcPr>
          <w:p>
            <w:r>
              <w:rPr>
                <w:b/>
                <w:color w:val="FFFFFF"/>
                <w:sz w:val="19"/>
              </w:rPr>
              <w:t>Fonte da attivare</w:t>
            </w:r>
          </w:p>
        </w:tc>
      </w:tr>
      <w:tr>
        <w:tc>
          <w:tcPr>
            <w:tcW w:type="dxa" w:w="2880"/>
          </w:tcPr>
          <w:p>
            <w:r>
              <w:rPr>
                <w:sz w:val="19"/>
              </w:rPr>
              <w:t>Quota diretto/OTA storica e CAC per canale</w:t>
            </w:r>
          </w:p>
        </w:tc>
        <w:tc>
          <w:tcPr>
            <w:tcW w:type="dxa" w:w="2880"/>
          </w:tcPr>
          <w:p>
            <w:r>
              <w:rPr>
                <w:sz w:val="19"/>
              </w:rPr>
              <w:t>Fissare un target di ripartizione proprio della struttura, non un benchmark generico</w:t>
            </w:r>
          </w:p>
        </w:tc>
        <w:tc>
          <w:tcPr>
            <w:tcW w:type="dxa" w:w="2880"/>
          </w:tcPr>
          <w:p>
            <w:r>
              <w:rPr>
                <w:sz w:val="19"/>
              </w:rPr>
              <w:t>PMS / gestionale prenotazioni, storici fatturazione OTA</w:t>
            </w:r>
          </w:p>
        </w:tc>
      </w:tr>
      <w:tr>
        <w:tc>
          <w:tcPr>
            <w:tcW w:type="dxa" w:w="2880"/>
            <w:shd w:val="clear" w:color="auto" w:fill="EEF2F1"/>
          </w:tcPr>
          <w:p>
            <w:r>
              <w:rPr>
                <w:sz w:val="19"/>
              </w:rPr>
              <w:t>Budget marketing reale investito</w:t>
            </w:r>
          </w:p>
        </w:tc>
        <w:tc>
          <w:tcPr>
            <w:tcW w:type="dxa" w:w="2880"/>
            <w:shd w:val="clear" w:color="auto" w:fill="EEF2F1"/>
          </w:tcPr>
          <w:p>
            <w:r>
              <w:rPr>
                <w:sz w:val="19"/>
              </w:rPr>
              <w:t>Trasformare la ripartizione percentuale in piano di spesa operativo</w:t>
            </w:r>
          </w:p>
        </w:tc>
        <w:tc>
          <w:tcPr>
            <w:tcW w:type="dxa" w:w="2880"/>
            <w:shd w:val="clear" w:color="auto" w:fill="EEF2F1"/>
          </w:tcPr>
          <w:p>
            <w:r>
              <w:rPr>
                <w:sz w:val="19"/>
              </w:rPr>
              <w:t>Cliente (contabilità/marketing)</w:t>
            </w:r>
          </w:p>
        </w:tc>
      </w:tr>
      <w:tr>
        <w:tc>
          <w:tcPr>
            <w:tcW w:type="dxa" w:w="2880"/>
          </w:tcPr>
          <w:p>
            <w:r>
              <w:rPr>
                <w:sz w:val="19"/>
              </w:rPr>
              <w:t>Occupazione, tariffa media, ricavo per camera disponibile</w:t>
            </w:r>
          </w:p>
        </w:tc>
        <w:tc>
          <w:tcPr>
            <w:tcW w:type="dxa" w:w="2880"/>
          </w:tcPr>
          <w:p>
            <w:r>
              <w:rPr>
                <w:sz w:val="19"/>
              </w:rPr>
              <w:t>Contesto di revenue management, fuori perimetro del piano ma utile a leggere l'impatto commerciale</w:t>
            </w:r>
          </w:p>
        </w:tc>
        <w:tc>
          <w:tcPr>
            <w:tcW w:type="dxa" w:w="2880"/>
          </w:tcPr>
          <w:p>
            <w:r>
              <w:rPr>
                <w:sz w:val="19"/>
              </w:rPr>
              <w:t>Cliente (revenue management interno)</w:t>
            </w:r>
          </w:p>
        </w:tc>
      </w:tr>
      <w:tr>
        <w:tc>
          <w:tcPr>
            <w:tcW w:type="dxa" w:w="2880"/>
            <w:shd w:val="clear" w:color="auto" w:fill="EEF2F1"/>
          </w:tcPr>
          <w:p>
            <w:r>
              <w:rPr>
                <w:sz w:val="19"/>
              </w:rPr>
              <w:t>Calendario eventi locali (fiere, manifestazioni sportive)</w:t>
            </w:r>
          </w:p>
        </w:tc>
        <w:tc>
          <w:tcPr>
            <w:tcW w:type="dxa" w:w="2880"/>
            <w:shd w:val="clear" w:color="auto" w:fill="EEF2F1"/>
          </w:tcPr>
          <w:p>
            <w:r>
              <w:rPr>
                <w:sz w:val="19"/>
              </w:rPr>
              <w:t>Precisare le pagine e le tempistiche di copertura fiera/evento nella roadmap</w:t>
            </w:r>
          </w:p>
        </w:tc>
        <w:tc>
          <w:tcPr>
            <w:tcW w:type="dxa" w:w="2880"/>
            <w:shd w:val="clear" w:color="auto" w:fill="EEF2F1"/>
          </w:tcPr>
          <w:p>
            <w:r>
              <w:rPr>
                <w:sz w:val="19"/>
              </w:rPr>
              <w:t>Rimini Fiera, Palazzo dei Congressi, enti locali</w:t>
            </w:r>
          </w:p>
        </w:tc>
      </w:tr>
      <w:tr>
        <w:tc>
          <w:tcPr>
            <w:tcW w:type="dxa" w:w="2880"/>
          </w:tcPr>
          <w:p>
            <w:r>
              <w:rPr>
                <w:sz w:val="19"/>
              </w:rPr>
              <w:t>Accessi GA4, Search Console, Google Business Profile, booking engine</w:t>
            </w:r>
          </w:p>
        </w:tc>
        <w:tc>
          <w:tcPr>
            <w:tcW w:type="dxa" w:w="2880"/>
          </w:tcPr>
          <w:p>
            <w:r>
              <w:rPr>
                <w:sz w:val="19"/>
              </w:rPr>
              <w:t>Misurare conversioni e qualità del funnel diretto, validare i risultati SEO/AEO</w:t>
            </w:r>
          </w:p>
        </w:tc>
        <w:tc>
          <w:tcPr>
            <w:tcW w:type="dxa" w:w="2880"/>
          </w:tcPr>
          <w:p>
            <w:r>
              <w:rPr>
                <w:sz w:val="19"/>
              </w:rPr>
              <w:t>Cliente (concessione accessi)</w:t>
            </w:r>
          </w:p>
        </w:tc>
      </w:tr>
      <w:tr>
        <w:tc>
          <w:tcPr>
            <w:tcW w:type="dxa" w:w="2880"/>
            <w:shd w:val="clear" w:color="auto" w:fill="EEF2F1"/>
          </w:tcPr>
          <w:p>
            <w:r>
              <w:rPr>
                <w:sz w:val="19"/>
              </w:rPr>
              <w:t>Rate parity diretto-vs-OTA sui metasearch</w:t>
            </w:r>
          </w:p>
        </w:tc>
        <w:tc>
          <w:tcPr>
            <w:tcW w:type="dxa" w:w="2880"/>
            <w:shd w:val="clear" w:color="auto" w:fill="EEF2F1"/>
          </w:tcPr>
          <w:p>
            <w:r>
              <w:rPr>
                <w:sz w:val="19"/>
              </w:rPr>
              <w:t>Precondizione bloccante prima di investimenti su campagne dirette</w:t>
            </w:r>
          </w:p>
        </w:tc>
        <w:tc>
          <w:tcPr>
            <w:tcW w:type="dxa" w:w="2880"/>
            <w:shd w:val="clear" w:color="auto" w:fill="EEF2F1"/>
          </w:tcPr>
          <w:p>
            <w:r>
              <w:rPr>
                <w:sz w:val="19"/>
              </w:rPr>
              <w:t>Audit tecnico su Google Hotel Ads, Trivago, Kayak</w:t>
            </w:r>
          </w:p>
        </w:tc>
      </w:tr>
      <w:tr>
        <w:tc>
          <w:tcPr>
            <w:tcW w:type="dxa" w:w="2880"/>
          </w:tcPr>
          <w:p>
            <w:r>
              <w:rPr>
                <w:sz w:val="19"/>
              </w:rPr>
              <w:t>Audit AEO completo (Gemini, Perplexity)</w:t>
            </w:r>
          </w:p>
        </w:tc>
        <w:tc>
          <w:tcPr>
            <w:tcW w:type="dxa" w:w="2880"/>
          </w:tcPr>
          <w:p>
            <w:r>
              <w:rPr>
                <w:sz w:val="19"/>
              </w:rPr>
              <w:t>Completare il quadro di visibilità sugli assistenti AI, oggi parziale</w:t>
            </w:r>
          </w:p>
        </w:tc>
        <w:tc>
          <w:tcPr>
            <w:tcW w:type="dxa" w:w="2880"/>
          </w:tcPr>
          <w:p>
            <w:r>
              <w:rPr>
                <w:sz w:val="19"/>
              </w:rPr>
              <w:t>Ripetizione audit con credenziali API valide</w:t>
            </w:r>
          </w:p>
        </w:tc>
      </w:tr>
    </w:tbl>
    <w:p>
      <w:pPr>
        <w:spacing w:after="160"/>
      </w:pPr>
    </w:p>
    <w:p>
      <w:pPr>
        <w:spacing w:before="160" w:after="40"/>
      </w:pPr>
      <w:r>
        <w:rPr>
          <w:b/>
          <w:color w:val="2F5D62"/>
          <w:sz w:val="24"/>
        </w:rPr>
        <w:t>Note esecutive</w:t>
      </w:r>
    </w:p>
    <w:p>
      <w:pPr>
        <w:pStyle w:val="ListBullet"/>
      </w:pPr>
      <w:r>
        <w:t>Nessun importo in euro compare in questo piano al di fuori di questo box: il budget è trattato come ripartizione percentuale; la proposta economica con gli importi è un allegato separato a cura dell'agenzia.</w:t>
      </w:r>
    </w:p>
    <w:p>
      <w:pPr>
        <w:pStyle w:val="ListBullet"/>
      </w:pPr>
      <w:r>
        <w:t>I benchmark di settore citati (CoA, CAC, ROAS) sono riferimenti da validare con i dati reali del cliente, non target uguali per ogni struttura né cifre già proprie del Mediterraneo.</w:t>
      </w:r>
    </w:p>
    <w:p>
      <w:pPr>
        <w:pStyle w:val="ListBullet"/>
      </w:pPr>
      <w:r>
        <w:t>La priorità operativa immediata tra questi input è duplice: audit di parity sui metasearch (blocca gli investimenti diretti) e accesso a PMS/GA4/Search Console (blocca la misurazione di ogni azione proposta nel piano).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22222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