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MEDITERRANEO RICCIONE</w:t>
      </w:r>
    </w:p>
    <w:p>
      <w:pPr>
        <w:jc w:val="center"/>
      </w:pPr>
      <w:r>
        <w:rPr>
          <w:color w:val="6B7280"/>
          <w:sz w:val="26"/>
        </w:rPr>
        <w:t>Riccione  ·  4 stelle</w:t>
      </w:r>
    </w:p>
    <w:p>
      <w:pPr>
        <w:spacing w:before="360"/>
        <w:pBdr>
          <w:bottom w:val="single" w:sz="12" w:space="6" w:color="2F5D62"/>
        </w:pBdr>
      </w:pPr>
    </w:p>
    <w:p>
      <w:pPr>
        <w:spacing w:before="160"/>
        <w:jc w:val="center"/>
      </w:pPr>
      <w:r>
        <w:rPr>
          <w:color w:val="6B7280"/>
          <w:sz w:val="18"/>
        </w:rPr>
        <w:t>Documento operativo · 22/07/2026 12:13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L'Hotel Mediterraneo gioca la propria partita su Riccione centro come hotel 4 stelle fronte mare a doppia vocazione, leisure familiare e business congressuale, un posizionamento che pochissimi competitor del set possono realmente contendere perché combinano insieme l'affaccio su Viale Ceccarini e un Centro Congressi da 8 sale a 400 metri dal Palazzo dei Congressi. La mossa strategica per i prossimi dodici mesi non è inseguire il rating medio del comp-set con interventi generici, ma tradurre in visibilità e in prodotto ciò che la struttura già possiede e che oggi resta sotto-espresso: la posizione come argomento commerciale sistematico verso famiglie e coppie, il Centro Congressi come canale B2B strutturato e non solo come dotazione elencata, e la coerenza tra il comfort in camera e la promessa di un 4 stelle fronte mare. Il piano lavora su tre leve integrate: presidiare la domanda non-brand ad alto volume oggi persa quasi per intero, dare al segmento business un processo di acquisizione degno del proprio peso, e chiudere il divario percepito su comfort e rapporto qualità-prezzo prima che eroda la fedeltà dei clienti abituali su cui la struttura si regge.</w:t>
      </w:r>
    </w:p>
    <w:p>
      <w:r>
        <w:t>Il sito e l'offerta commerciale raccontano una struttura pensata deliberatamente per due pubblici, famiglie leisure e aziende/congressi, con pagine e pacchetti dedicati a entrambi; i dati di reputazione confermano invece un terzo pubblico, la coppia, come componente ampia e ad altissimo sentiment, oggi la meno servita in termini di contenuto dedicato rispetto al suo peso reale. Questo scarto tra posizionamento dichiarato e clientela misurata è lo scostamento di archetipo su cui il piano interviene: non si tratta di correggere il posizionamento family/business, che resta corretto e va anzi rafforzato, ma di aggiungergli un terzo binario esplicito per la coppia, oggi trattato come conseguenza implicita della posizione fronte mare invece che come segmento presidiato con contenuti e offerta propri.</w:t>
      </w:r>
    </w:p>
    <w:p>
      <w:pPr>
        <w:spacing w:before="160" w:after="40"/>
      </w:pPr>
      <w:r>
        <w:rPr>
          <w:b/>
          <w:color w:val="2F5D62"/>
          <w:sz w:val="24"/>
        </w:rPr>
        <w:t>Obiettivi misurabili</w:t>
      </w:r>
    </w:p>
    <w:p>
      <w:pPr>
        <w:pStyle w:val="ListBullet"/>
      </w:pPr>
      <w:r>
        <w:t>Presidiare in top posizione la domanda non-brand ad alto volume oggi in gap, a partire dalle query allineate al posizionamento family e mare (v. sez. 06 per i target numerici)</w:t>
      </w:r>
    </w:p>
    <w:p>
      <w:pPr>
        <w:pStyle w:val="ListBullet"/>
      </w:pPr>
      <w:r>
        <w:t>Costruire un canale di acquisizione strutturato per il segmento business/MICE, con un processo di richiesta preventivo tracciabile (obiettivo di processo: oggi non esiste una baseline di conversione RFP)</w:t>
      </w:r>
    </w:p>
    <w:p>
      <w:pPr>
        <w:pStyle w:val="ListBullet"/>
      </w:pPr>
      <w:r>
        <w:t>Riequilibrare il mix di contenuto verso il segmento coppia, oggi sotto-rappresentato rispetto al suo peso reale nella clientela effettiva</w:t>
      </w:r>
    </w:p>
    <w:p>
      <w:pPr>
        <w:pStyle w:val="ListBullet"/>
      </w:pPr>
      <w:r>
        <w:t>Avviare il piano di rinnovo del comfort in camera (arredi e materassi) sulle camere standard, a difesa della promessa fronte mare 4 stelle</w:t>
      </w:r>
    </w:p>
    <w:p>
      <w:pPr>
        <w:spacing w:before="160" w:after="40"/>
      </w:pPr>
      <w:r>
        <w:rPr>
          <w:b/>
          <w:color w:val="2F5D62"/>
          <w:sz w:val="24"/>
        </w:rPr>
        <w:t>Azioni</w:t>
      </w:r>
    </w:p>
    <w:p>
      <w:r>
        <w:t>La posizione su Viale Ceccarini è già l'argomento più citato e meglio valutato dagli ospiti su ogni piattaforma: significa che è un asset comprato, non solo percepito, e va quindi impiegato come architrave di ogni contenuto rivolto a famiglia e coppia, non relegato a una menzione tra le tante nella pagina camere. L'azione è ricostruire la gerarchia dei contenuti del sito attorno a questo argomento, con pagine e offerte che lo dichiarino esplicitamente nel titolo e nella struttura, invece di lasciarlo emergere solo dalle recensioni.</w:t>
      </w:r>
    </w:p>
    <w:p>
      <w:r>
        <w:t>Il Centro Congressi con 8 sale è un differenziatore condiviso con un solo altro competitor diretto del set, il che lo rende raro ma non ancora sfruttato come canale di acquisizione autonomo: oggi il contatto per meeting e congressi passa solo per email e telefono generici, senza un processo di richiesta preventivo strutturato né presenza rilevata su portali di settore. L'azione è dotare la pagina meeting/congressi di un form di richiesta preventivo con campi su capienza, date e servizi, e verificare la presenza della struttura nei canali B2B/MICE regionali, trasformando un asset fisico in un funnel commerciale tracciabile.</w:t>
      </w:r>
    </w:p>
    <w:p>
      <w:r>
        <w:t>La coppia rappresenta una quota ampia e ad altissimo sentiment della clientela reale, ma il sito non le dedica un binario di contenuto proprio, trattandola come sotto-prodotto della posizione romantica sul lungomare. L'azione è introdurre un segmento di comunicazione dedicato alla coppia, con pacchetti e linguaggio propri accanto a quelli già esistenti per famiglia e business, valorizzando le suite con bagno turco e sauna già presenti come argomento specifico per questo pubblico.</w:t>
      </w:r>
    </w:p>
    <w:p>
      <w:r>
        <w:t>Il comfort delle camere standard è la criticità più diffusa nel giudizio degli ospiti ed è anche l'area dove il distacco dal comp-set è più marcato: se non affrontata, rischia di vanificare nel tempo il vantaggio distintivo sulla posizione, perché un ospite soddisfatto della location ma deluso dal materasso non ritorna e non consiglia. L'azione è un piano di rinnovo prioritario di arredi e materassi sulle camere standard (non solo suite), da programmare nella finestra di chiusura stagionale e da comunicare esplicitamente nelle risposte alle recensioni e negli aggiornamenti dei canali.</w:t>
      </w:r>
    </w:p>
    <w:p>
      <w:r>
        <w:t>L'assenza pressoché totale di presidio sulla domanda non-brand, a fronte di un solo argomento di posizionamento (la posizione fronte mare) che già vince nel giudizio degli ospiti, indica che la struttura non sta raccogliendo la domanda che il mercato esprime per quel preciso vantaggio. L'azione è allineare i contenuti del sito al lessico con cui la domanda si esprime realmente, a partire dalle query che intercettano l'incrocio tra posizione, famiglia e formula di soggiorno, così da colmare il divario tra ciò che l'hotel è e ciò che oggi risulta visibile in ricerca.</w:t>
      </w:r>
    </w:p>
    <w:p>
      <w:pPr>
        <w:spacing w:before="160" w:after="40"/>
      </w:pPr>
      <w:r>
        <w:rPr>
          <w:b/>
          <w:color w:val="2F5D62"/>
          <w:sz w:val="24"/>
        </w:rPr>
        <w:t>KPI</w:t>
      </w:r>
    </w:p>
    <w:p>
      <w:pPr>
        <w:pStyle w:val="ListBullet"/>
      </w:pPr>
      <w:r>
        <w:t>V. sez. 06 per i KPI numerici di riferimento (visibilità organica, reputazione, acquisizione diretta)</w:t>
      </w:r>
    </w:p>
    <w:p>
      <w:pPr>
        <w:spacing w:before="160" w:after="40"/>
      </w:pPr>
      <w:r>
        <w:rPr>
          <w:b/>
          <w:color w:val="2F5D62"/>
          <w:sz w:val="24"/>
        </w:rPr>
        <w:t>Note esecutive</w:t>
      </w:r>
    </w:p>
    <w:p>
      <w:pPr>
        <w:pStyle w:val="ListBullet"/>
      </w:pPr>
      <w:r>
        <w:t>Le metriche tariffarie e di rendimento (listini, formule di prezzo) restano di competenza della struttura: questo piano non le tocca se non come vetrina commerciale</w:t>
      </w:r>
    </w:p>
    <w:p>
      <w:pPr>
        <w:pStyle w:val="ListBullet"/>
      </w:pPr>
      <w:r>
        <w:t>Lo scostamento tra posizionamento dichiarato (family/business) e clientela misurata (quota coppia rilevante) va trattato come priorità di contenuto, non come revisione del posizionamento esistente</w:t>
      </w:r>
    </w:p>
    <w:p>
      <w:pPr>
        <w:pStyle w:val="ListBullet"/>
      </w:pPr>
      <w:r>
        <w:t>Il piano di rinnovo comfort camere è un intervento fisico che la comunicazione può accompagnare ma non sostituire: il punteggio di reputazione relativo si muove su orizzonti lenti, non in pochi mesi</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57,0% del mix di clientela reale (recensioni Booking): Coppie 37,9% · Famiglie 19,1%.</w:t>
      </w:r>
    </w:p>
    <w:p>
      <w:r>
        <w:t>La clientela reale del Mediterraneo è tripolare — famiglia, coppia, business/congressuale — e il piano deve parlare a ciascuno con un lessico proprio, non con un messaggio unico annacquato. Il compito di questa sezione è tradurre i tre pesi in altrettanti messaggi operativi, coerenti con le formule di prodotto e con le finestre di prenotazione già inserite in roadmap (sez. 05), senza ridefinire quote o priorità già fissate a monte.</w:t>
      </w:r>
    </w:p>
    <w:p>
      <w:pPr>
        <w:spacing w:before="160" w:after="40"/>
      </w:pPr>
      <w:r>
        <w:rPr>
          <w:b/>
          <w:color w:val="2F5D62"/>
          <w:sz w:val="24"/>
        </w:rPr>
        <w:t>Obiettivi misurabili</w:t>
      </w:r>
    </w:p>
    <w:p>
      <w:pPr>
        <w:pStyle w:val="ListBullet"/>
      </w:pPr>
      <w:r>
        <w:t>Pubblicare entro il primo trimestre operativo una pagina/famiglia di contenuti dedicata a ciascuno dei tre segmenti prioritari, con lessico di prodotto esplicito (formule pensione, family plan, spiaggia inclusa) per famiglia e coppia, e con contenuti a supporto RFP per il segmento business — obiettivo di processo, in attesa della baseline di conversione per canale (v. sez. 08)</w:t>
      </w:r>
    </w:p>
    <w:p>
      <w:pPr>
        <w:pStyle w:val="ListBullet"/>
      </w:pPr>
      <w:r>
        <w:t>Allineare il naming e i contenuti dell'offerta 'family hotel' alla domanda non presidiata già individuata in sede di canale (v. sez. 03), senza ricalcolare qui i volumi</w:t>
      </w:r>
    </w:p>
    <w:p>
      <w:pPr>
        <w:spacing w:before="160" w:after="40"/>
      </w:pPr>
      <w:r>
        <w:rPr>
          <w:b/>
          <w:color w:val="2F5D62"/>
          <w:sz w:val="24"/>
        </w:rPr>
        <w:t>Azioni</w:t>
      </w:r>
    </w:p>
    <w:p>
      <w:r>
        <w:t>La famiglia pesa quasi due terzi... in realtà pesa circa un terzo della clientela reale (quota TripAdvisor 'in famiglia', già citata in apertura di piano) ed è il segmento con la dotazione di servizio più ricca sulla carta — mini club, sala giochi, salone climatizzato vista mare, piscina panoramica — ma il messaggio pubblico non usa quasi mai questo lessico in forma strutturata. Il rischio è che chi cerca esplicitamente un family hotel non trovi conferma immediata dell'offerta reale. Il messaggio-guida per la famiglia deve nominare la formula di pensione (pensione completa o all inclusive), il piano famiglia con bambini gratis o scontati per fascia d'età modulato sui mesi di spalla, e la spiaggia inclusa (ombrellone e lettini per camera): senza questi tre elementi il messaggio resta consulenziale e non vendibile. La finestra di prenotazione di questo segmento è tipicamente medio-lunga, con blocco delle date scolastiche e dei ponti: la comunicazione va quindi anticipata rispetto all'apertura della domanda di alta stagione, con i mesi operativi già fissati in roadmap.</w:t>
      </w:r>
    </w:p>
    <w:p>
      <w:r>
        <w:t>La coppia è il secondo polo, con un peso che nelle due fonti disponibili oscilla tra poco più di un quarto e quasi due quinti — la divergenza tra le fonti è di per sé un segnale da annotare, non un dato da comprimere in un unico numero. Il posizionamento su Viale Ceccarini si presta naturalmente al racconto della coppia (passeggiata, relax, suite con bagno turco e sauna), ma i contenuti pubblicati restano generalisti. Va costruito un messaggio differenziato per le due anime del segmento: la coppia weekend cerca immediatezza e prezzo-posizione, la coppia matura cerca cura del dettaglio ed esperienza spa. Per entrambe vale il richiamo alla formula 'book early' come argomento di conversione anticipata, mentre la prenotazione last-minute resta l'esito naturale della quota più spontanea. La finestra di prenotazione è quindi bimodale: anticipata per l'occasione speciale e la coppia matura, ravvicinata per il weekend.</w:t>
      </w:r>
    </w:p>
    <w:p>
      <w:r>
        <w:t>Il business/congressuale pesa poco più di un quarto della clientela reale e si distingue dagli altri due per l'assenza quasi totale della fase di ispirazione: chi organizza un evento aziendale parte da vincoli già dati (date, capienza, budget) e decide su criteri di idoneità operativa, non emozionale. Il messaggio-guida qui non è di atmosfera ma di specifica tecnica: capienza delle sale (dalle più piccole alla plenaria da 320 posti), luce naturale, servizi accessori (welcome coffee, wifi dedicato, videoproiezione), vicinanza al Palazzo dei Congressi e alla stazione. Il gancio distintivo di questo messaggio è la richiesta di preventivo strutturata online: senza un canale di raccolta RFP dedicato, il messaggio per quanto ben scritto si scontra con un imbuto di contatto che oggi passa solo per email e telefono generici.</w:t>
      </w:r>
    </w:p>
    <w:p>
      <w:pPr>
        <w:spacing w:before="160" w:after="40"/>
      </w:pPr>
      <w:r>
        <w:rPr>
          <w:b/>
          <w:color w:val="2F5D62"/>
          <w:sz w:val="24"/>
        </w:rPr>
        <w:t>KPI</w:t>
      </w:r>
    </w:p>
    <w:p>
      <w:pPr>
        <w:pStyle w:val="ListBullet"/>
      </w:pPr>
      <w:r>
        <w:t>Copertura contenuti per segmento: v. sez. 06</w:t>
      </w:r>
    </w:p>
    <w:p>
      <w:pPr>
        <w:pStyle w:val="ListBullet"/>
      </w:pPr>
      <w:r>
        <w:t>Tasso di conversione delle pagine segmento (famiglia, coppia, business): v. sez. 06</w:t>
      </w:r>
    </w:p>
    <w:p>
      <w:pPr>
        <w:pStyle w:val="ListBullet"/>
      </w:pPr>
      <w:r>
        <w:t>Volume e qualità delle richieste RFP intercettate dal nuovo canale dedicato: v. sez. 06</w:t>
      </w:r>
    </w:p>
    <w:p>
      <w:pPr>
        <w:spacing w:before="160" w:after="40"/>
      </w:pPr>
      <w:r>
        <w:rPr>
          <w:b/>
          <w:color w:val="2F5D62"/>
          <w:sz w:val="24"/>
        </w:rPr>
        <w:t>Note esecutive</w:t>
      </w:r>
    </w:p>
    <w:p>
      <w:pPr>
        <w:pStyle w:val="ListBullet"/>
      </w:pPr>
      <w:r>
        <w:t>Le quote di segmento restano quelle già fissate a monte del piano; qui si usano solo per calibrare il messaggio, non si ricalcolano né si arrotondano.</w:t>
      </w:r>
    </w:p>
    <w:p>
      <w:pPr>
        <w:pStyle w:val="ListBullet"/>
      </w:pPr>
      <w:r>
        <w:t>Il gruppo di amici (quota minoritaria) e il viaggiatore singolo (quota con forte divergenza tra le due fonti disponibili) restano fuori dai tre messaggi prioritari: non giustificano oggi un investimento di contenuto dedicato, ma vanno monitorati nel tempo.</w:t>
      </w:r>
    </w:p>
    <w:p>
      <w:pPr>
        <w:pStyle w:val="ListBullet"/>
      </w:pPr>
      <w:r>
        <w:t>Ogni messaggio di segmento deve restare coerente con le finestre di campagna e i mesi operativi già fissati in roadmap (sez. 05): questa sezione non introduce un calendario proprio.</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26 keyword su 27 in gap (96%); 55760 ricerche/mese di domanda non presidiata. On-site: mancano dati strutturati per i rich result (breadcrumb, faq, review); 22 pagine offerta non più promosse indicizzate (altro: 12, leisure: 4, sport_evento: 3, fiera_congresso: 3) da potare (301/noindex).</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67%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 (prioritario)</w:t>
            </w:r>
          </w:p>
        </w:tc>
        <w:tc>
          <w:tcPr>
            <w:tcW w:type="dxa" w:w="1728"/>
            <w:shd w:val="clear" w:color="auto" w:fill="EEF2F1"/>
          </w:tcPr>
          <w:p>
            <w:r>
              <w:rPr>
                <w:sz w:val="19"/>
              </w:rPr>
              <w:t>alta</w:t>
            </w:r>
          </w:p>
        </w:tc>
        <w:tc>
          <w:tcPr>
            <w:tcW w:type="dxa" w:w="1728"/>
            <w:shd w:val="clear" w:color="auto" w:fill="EEF2F1"/>
          </w:tcPr>
          <w:p>
            <w:r>
              <w:rPr>
                <w:sz w:val="19"/>
              </w:rPr>
              <w:t>Il canale diretto è l'obiettivo strutturale: manca il markup Offer/prezzi e il booking engine non è dichiarato — abilitare la conversione diretta (schema Offer, motore di prenotazione). Partire OTTIMIZZANDO la pagina offerte già esistente (https://www.mediterraneoriccione.com/offerte), non creandone una nuova. Il listino va chiuso entro gen per aprire le vendite ai mercati esteri.</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7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Famiglie e coppie sono il 57% della clientela reale: l'economia dei ripetenti giustifica email/CRM come leva di valore del cliente diretto.</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Attivare</w:t>
            </w:r>
          </w:p>
        </w:tc>
        <w:tc>
          <w:tcPr>
            <w:tcW w:type="dxa" w:w="1728"/>
          </w:tcPr>
          <w:p>
            <w:r>
              <w:rPr>
                <w:sz w:val="19"/>
              </w:rPr>
              <w:t>media</w:t>
            </w:r>
          </w:p>
        </w:tc>
        <w:tc>
          <w:tcPr>
            <w:tcW w:type="dxa" w:w="1728"/>
          </w:tcPr>
          <w:p>
            <w:r>
              <w:rPr>
                <w:sz w:val="19"/>
              </w:rPr>
              <w:t>Mercato DACH già presente: scheda HolidayCheck attiva. Il tedesco prenota con ~5 mesi di anticipo: aprire le vendite di conseguenza.</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Struttura annuale con vocazione fiere/business: presidiare il calendario congressuale (piano presenza fiere) oltre alla domanda leisure.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Attivare</w:t>
            </w:r>
          </w:p>
        </w:tc>
        <w:tc>
          <w:tcPr>
            <w:tcW w:type="dxa" w:w="1728"/>
          </w:tcPr>
          <w:p>
            <w:r>
              <w:rPr>
                <w:sz w:val="19"/>
              </w:rPr>
              <w:t>media</w:t>
            </w:r>
          </w:p>
        </w:tc>
        <w:tc>
          <w:tcPr>
            <w:tcW w:type="dxa" w:w="1728"/>
          </w:tcPr>
          <w:p>
            <w:r>
              <w:rPr>
                <w:sz w:val="19"/>
              </w:rPr>
              <w:t>Nessun dato strutturato di attività locale (Hotel/LocalBusiness) sul sito: aggiungere il markup e presidiare Google Business Profile (NAP, categorie, foto) per mappe e 'vicino a me'.</w:t>
            </w:r>
          </w:p>
        </w:tc>
        <w:tc>
          <w:tcPr>
            <w:tcW w:type="dxa" w:w="1728"/>
          </w:tcPr>
          <w:p>
            <w:r>
              <w:rPr>
                <w:sz w:val="19"/>
              </w:rPr>
              <w:t>—</w:t>
            </w:r>
          </w:p>
        </w:tc>
      </w:tr>
    </w:tbl>
    <w:p>
      <w:pPr>
        <w:spacing w:after="160"/>
      </w:pPr>
    </w:p>
    <w:p>
      <w:r>
        <w:t>La matrice fissa un ordine di lavoro, non un elenco di buone intenzioni: il diretto e l'organico locale vanno spinti subito perché la domanda esiste già ed è misurabile, il metasearch resta in attesa di una verifica tecnica, il B2B/MICE ha una struttura pronta ma nessun canale digitale che la intercetti, e il CRM è la leva più economica e meno rischiosa perché lavora su chi ha già scelto la struttura. L'azione di questa sezione è mettere in sequenza queste priorità, risolvendo prima le dipendenze che le bloccano.</w:t>
      </w:r>
    </w:p>
    <w:p>
      <w:pPr>
        <w:spacing w:before="160" w:after="40"/>
      </w:pPr>
      <w:r>
        <w:rPr>
          <w:b/>
          <w:color w:val="2F5D62"/>
          <w:sz w:val="24"/>
        </w:rPr>
        <w:t>Obiettivi misurabili</w:t>
      </w:r>
    </w:p>
    <w:p>
      <w:pPr>
        <w:pStyle w:val="ListBullet"/>
      </w:pPr>
      <w:r>
        <w:t>Completare l'audit di parità tariffaria diretto-vs-portali sui principali comparatori prima di attivare qualunque investimento a pagamento sul metasearch (obiettivo di processo, v. sez. 06 per i KPI numerici collegati)</w:t>
      </w:r>
    </w:p>
    <w:p>
      <w:pPr>
        <w:pStyle w:val="ListBullet"/>
      </w:pPr>
      <w:r>
        <w:t>Pubblicare un form di richiesta preventivo strutturato sulla pagina dedicata a meeting e congressi (obiettivo di processo)</w:t>
      </w:r>
    </w:p>
    <w:p>
      <w:pPr>
        <w:pStyle w:val="ListBullet"/>
      </w:pPr>
      <w:r>
        <w:t>Attivare una base di raccolta contatti post-soggiorno per la comunicazione ai clienti ricorrenti (obiettivo di processo)</w:t>
      </w:r>
    </w:p>
    <w:p>
      <w:pPr>
        <w:spacing w:before="160" w:after="40"/>
      </w:pPr>
      <w:r>
        <w:rPr>
          <w:b/>
          <w:color w:val="2F5D62"/>
          <w:sz w:val="24"/>
        </w:rPr>
        <w:t>Azioni</w:t>
      </w:r>
    </w:p>
    <w:p>
      <w:pPr>
        <w:pStyle w:val="ListBullet"/>
      </w:pPr>
      <w:r>
        <w:t>Il canale diretto va spinto ora perché la struttura può contare su una domanda non-brand consistente ancora non intercettata e su un pubblico di famiglie e coppie con alta propensione a tornare: senza un motore di prenotazione competitivo e senza contenuti di prodotto allineati a quella domanda, ogni euro speso per portare traffico al sito si disperde prima della conversione. La priorità immediata è quindi allineare le pagine di prodotto (camere, offerte, famiglia) alla domanda reale già mappata, in parallelo al lavoro sui dati strutturati trattato in altra sede.</w:t>
      </w:r>
    </w:p>
    <w:p>
      <w:pPr>
        <w:pStyle w:val="ListBullet"/>
      </w:pPr>
      <w:r>
        <w:t>Il metasearch non può essere spinto subito perché manca oggi la verifica se il prezzo esposto sul canale diretto sia competitivo rispetto a quello dei portali su questi stessi comparatori: investire prima di questa verifica rischia di finanziare traffico che si converte comunque sull'OTA. L'azione prioritaria è quindi l'audit di parità; solo a verifica conclusa il metasearch entra in matrice come canale attivo a tutti gli effetti.</w:t>
      </w:r>
    </w:p>
    <w:p>
      <w:pPr>
        <w:pStyle w:val="ListBullet"/>
      </w:pPr>
      <w:r>
        <w:t>Le OTA restano un canale gestito e non un obiettivo da ridurre a ogni costo: la clientela internazionale è ancora una quota minoritaria del mix reale e i portali generalisti restano lo strumento più efficace per intercettarla e per dare visibilità nei periodi di minore domanda diretta. L'azione qui non è di traffico ma di coerenza: schede aggiornate, risposta sistematica alle recensioni, allineamento dei contenuti con il sito ufficiale, così che il portale rafforzi la reputazione invece di consumarla.</w:t>
      </w:r>
    </w:p>
    <w:p>
      <w:pPr>
        <w:pStyle w:val="ListBullet"/>
      </w:pPr>
      <w:r>
        <w:t>Il canale B2B/MICE ha una struttura pronta a monte (sale meeting, capienza, prossimità al polo congressuale) ma nessun canale digitale che raccolga la domanda in modo strutturato: oggi il contatto passa solo per email e telefono generici, che disperdono le richieste e non lasciano traccia misurabile. L'azione è costruire un percorso di richiesta dedicato sulla pagina meeting e congressi, con campi su capienza, date e servizi, affiancato da case study quantificati che rafforzino la credibilità presso chi organizza eventi.</w:t>
      </w:r>
    </w:p>
    <w:p>
      <w:pPr>
        <w:pStyle w:val="ListBullet"/>
      </w:pPr>
      <w:r>
        <w:t>Gli assistenti conversazionali sono oggi un canale da presidiare in modo propedeutico più che da spingere con contenuti dedicati: l'audit condotto è parziale (due assistenti su tre non misurabili per un problema tecnico di accesso) e il segmento famiglia risulta assente su quello misurato, nonostante sia il pubblico più incline a usare questo tipo di ricerca. L'azione immediata è completare l'audit e, in parallelo, rafforzare i contenuti fattuali sulle pagine di prodotto più deboli in ottica di citabilità, così che quando l'audit sarà completo la struttura non parta da zero.</w:t>
      </w:r>
    </w:p>
    <w:p>
      <w:pPr>
        <w:pStyle w:val="ListBullet"/>
      </w:pPr>
      <w:r>
        <w:t>Il CRM su ospiti già acquisiti è il canale a più basso rischio e più alto ritorno perché non richiede di conquistare nuova domanda ma di trattenere quella già convertita: oggi non risulta alcun programma di raccolta contatti post-soggiorno, il che significa che ogni ospite soddisfatto viene ricontattato solo se torna a cercare la struttura da solo. L'azione è costruire la base contatti e impostare una comunicazione mirata ai ricorrenti, propedeutica a qualunque logica di fidelizzazione più strutturata.</w:t>
      </w:r>
    </w:p>
    <w:p>
      <w:pPr>
        <w:pStyle w:val="ListBullet"/>
      </w:pPr>
      <w:r>
        <w:t>I social restano un canale da mantenere e presidiare con continuità, non da rilanciare: la presenza è attiva su Instagram e Facebook ma senza un dato di performance disponibile. L'azione è allineare i contenuti pubblicati alle pagine di prodotto già esistenti sul sito (famiglia, congressi, offerte), evitando che il social racconti una struttura diversa da quella che il sito e le pagine di prodotto presentano.</w:t>
      </w:r>
    </w:p>
    <w:p>
      <w:pPr>
        <w:spacing w:before="160" w:after="40"/>
      </w:pPr>
      <w:r>
        <w:rPr>
          <w:b/>
          <w:color w:val="2F5D62"/>
          <w:sz w:val="24"/>
        </w:rPr>
        <w:t>KPI</w:t>
      </w:r>
    </w:p>
    <w:p>
      <w:r>
        <w:t>Il cruscotto numerico che governa l'esecuzione di questi canali è unico ed è raccolto in sezione 06: qui la matrice fissa solo l'ordine di intervento e le dipendenze da sciogliere prima di misurare.</w:t>
      </w:r>
    </w:p>
    <w:p>
      <w:pPr>
        <w:spacing w:before="160" w:after="40"/>
      </w:pPr>
      <w:r>
        <w:rPr>
          <w:b/>
          <w:color w:val="2F5D62"/>
          <w:sz w:val="24"/>
        </w:rPr>
        <w:t>Note esecutive</w:t>
      </w:r>
    </w:p>
    <w:p>
      <w:pPr>
        <w:pStyle w:val="ListBullet"/>
      </w:pPr>
      <w:r>
        <w:t>L'audit di parità sui comparatori tariffari è la dipendenza che sblocca il metasearch: va condotto prima di qualunque impegno di spesa su questo canale.</w:t>
      </w:r>
    </w:p>
    <w:p>
      <w:pPr>
        <w:pStyle w:val="ListBullet"/>
      </w:pPr>
      <w:r>
        <w:t>Il completamento dell'audit sugli assistenti conversazionali (oggi parziale su due strumenti) è la dipendenza che permette di valutare se investire in contenuti dedicati a quel canale o continuare a presidiarlo solo di riflesso.</w:t>
      </w:r>
    </w:p>
    <w:p>
      <w:pPr>
        <w:pStyle w:val="ListBullet"/>
      </w:pPr>
      <w:r>
        <w:t>Il form di richiesta preventivo per il segmento B2B/MICE è indipendente dalle altre dipendenze e può partire subito, poiché la struttura commerciale a monte è già pronta.</w:t>
      </w:r>
    </w:p>
    <w:p>
      <w:pPr>
        <w:pStyle w:val="ListBullet"/>
      </w:pPr>
      <w:r>
        <w:t>La sequenza corretta è: prima le dipendenze (parità, audit AI), poi l'attivazione piena dei canali che ne dipendono; i canali senza dipendenze bloccanti (diretto, organico locale, B2B/MICE, CRM) partono da subito.</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pPr>
        <w:spacing w:before="160" w:after="40"/>
      </w:pPr>
      <w:r>
        <w:rPr>
          <w:b/>
          <w:color w:val="2F5D62"/>
          <w:sz w:val="24"/>
        </w:rPr>
        <w:t>Mercati raggiungibili per volo diretto (decision record — connettività aerea)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Mercato</w:t>
            </w:r>
          </w:p>
        </w:tc>
        <w:tc>
          <w:tcPr>
            <w:tcW w:type="dxa" w:w="1440"/>
            <w:shd w:val="clear" w:color="auto" w:fill="2F5D62"/>
          </w:tcPr>
          <w:p>
            <w:r>
              <w:rPr>
                <w:b/>
                <w:color w:val="FFFFFF"/>
                <w:sz w:val="19"/>
              </w:rPr>
              <w:t>Lingua</w:t>
            </w:r>
          </w:p>
        </w:tc>
        <w:tc>
          <w:tcPr>
            <w:tcW w:type="dxa" w:w="1440"/>
            <w:shd w:val="clear" w:color="auto" w:fill="2F5D62"/>
          </w:tcPr>
          <w:p>
            <w:r>
              <w:rPr>
                <w:b/>
                <w:color w:val="FFFFFF"/>
                <w:sz w:val="19"/>
              </w:rPr>
              <w:t>Stagionalità</w:t>
            </w:r>
          </w:p>
        </w:tc>
        <w:tc>
          <w:tcPr>
            <w:tcW w:type="dxa" w:w="1440"/>
            <w:shd w:val="clear" w:color="auto" w:fill="2F5D62"/>
          </w:tcPr>
          <w:p>
            <w:r>
              <w:rPr>
                <w:b/>
                <w:color w:val="FFFFFF"/>
                <w:sz w:val="19"/>
              </w:rPr>
              <w:t>Frequenza</w:t>
            </w:r>
          </w:p>
        </w:tc>
        <w:tc>
          <w:tcPr>
            <w:tcW w:type="dxa" w:w="1440"/>
            <w:shd w:val="clear" w:color="auto" w:fill="2F5D62"/>
          </w:tcPr>
          <w:p>
            <w:r>
              <w:rPr>
                <w:b/>
                <w:color w:val="FFFFFF"/>
                <w:sz w:val="19"/>
              </w:rPr>
              <w:t>Voli/mese</w:t>
            </w:r>
          </w:p>
        </w:tc>
        <w:tc>
          <w:tcPr>
            <w:tcW w:type="dxa" w:w="1440"/>
            <w:shd w:val="clear" w:color="auto" w:fill="2F5D62"/>
          </w:tcPr>
          <w:p>
            <w:r>
              <w:rPr>
                <w:b/>
                <w:color w:val="FFFFFF"/>
                <w:sz w:val="19"/>
              </w:rPr>
              <w:t>Prova (città · compagnia)</w:t>
            </w:r>
          </w:p>
        </w:tc>
      </w:tr>
      <w:tr>
        <w:tc>
          <w:tcPr>
            <w:tcW w:type="dxa" w:w="1440"/>
          </w:tcPr>
          <w:p>
            <w:r>
              <w:rPr>
                <w:sz w:val="19"/>
              </w:rPr>
              <w:t>United Kingdom (opportunità)</w:t>
            </w:r>
          </w:p>
        </w:tc>
        <w:tc>
          <w:tcPr>
            <w:tcW w:type="dxa" w:w="1440"/>
          </w:tcPr>
          <w:p>
            <w:r>
              <w:rPr>
                <w:sz w:val="19"/>
              </w:rPr>
              <w:t>inglese</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99</w:t>
            </w:r>
          </w:p>
        </w:tc>
        <w:tc>
          <w:tcPr>
            <w:tcW w:type="dxa" w:w="1440"/>
          </w:tcPr>
          <w:p>
            <w:r>
              <w:rPr>
                <w:sz w:val="19"/>
              </w:rPr>
              <w:t>London Stansted · Ryanair (68/mese); London Heathrow · British Airways (13/mese)</w:t>
            </w:r>
          </w:p>
        </w:tc>
      </w:tr>
      <w:tr>
        <w:tc>
          <w:tcPr>
            <w:tcW w:type="dxa" w:w="1440"/>
            <w:shd w:val="clear" w:color="auto" w:fill="EEF2F1"/>
          </w:tcPr>
          <w:p>
            <w:r>
              <w:rPr>
                <w:sz w:val="19"/>
              </w:rPr>
              <w:t>Poland (opportunità)</w:t>
            </w:r>
          </w:p>
        </w:tc>
        <w:tc>
          <w:tcPr>
            <w:tcW w:type="dxa" w:w="1440"/>
            <w:shd w:val="clear" w:color="auto" w:fill="EEF2F1"/>
          </w:tcPr>
          <w:p>
            <w:r>
              <w:rPr>
                <w:sz w:val="19"/>
              </w:rPr>
              <w:t>polacco</w:t>
            </w:r>
          </w:p>
        </w:tc>
        <w:tc>
          <w:tcPr>
            <w:tcW w:type="dxa" w:w="1440"/>
            <w:shd w:val="clear" w:color="auto" w:fill="EEF2F1"/>
          </w:tcPr>
          <w:p>
            <w:r>
              <w:rPr>
                <w:sz w:val="19"/>
              </w:rPr>
              <w:t>Prevalentemente stagionale (luglio→ottobre)</w:t>
            </w:r>
          </w:p>
        </w:tc>
        <w:tc>
          <w:tcPr>
            <w:tcW w:type="dxa" w:w="1440"/>
            <w:shd w:val="clear" w:color="auto" w:fill="EEF2F1"/>
          </w:tcPr>
          <w:p>
            <w:r>
              <w:rPr>
                <w:sz w:val="19"/>
              </w:rPr>
              <w:t>giornaliero</w:t>
            </w:r>
          </w:p>
        </w:tc>
        <w:tc>
          <w:tcPr>
            <w:tcW w:type="dxa" w:w="1440"/>
            <w:shd w:val="clear" w:color="auto" w:fill="EEF2F1"/>
          </w:tcPr>
          <w:p>
            <w:r>
              <w:rPr>
                <w:sz w:val="19"/>
              </w:rPr>
              <w:t>79</w:t>
            </w:r>
          </w:p>
        </w:tc>
        <w:tc>
          <w:tcPr>
            <w:tcW w:type="dxa" w:w="1440"/>
            <w:shd w:val="clear" w:color="auto" w:fill="EEF2F1"/>
          </w:tcPr>
          <w:p>
            <w:r>
              <w:rPr>
                <w:sz w:val="19"/>
              </w:rPr>
              <w:t>Krakow · Ryanair (41/mese); Warsaw · Wizz Air (18/mese)</w:t>
            </w:r>
          </w:p>
        </w:tc>
      </w:tr>
      <w:tr>
        <w:tc>
          <w:tcPr>
            <w:tcW w:type="dxa" w:w="1440"/>
          </w:tcPr>
          <w:p>
            <w:r>
              <w:rPr>
                <w:sz w:val="19"/>
              </w:rPr>
              <w:t>Germany</w:t>
            </w:r>
          </w:p>
        </w:tc>
        <w:tc>
          <w:tcPr>
            <w:tcW w:type="dxa" w:w="1440"/>
          </w:tcPr>
          <w:p>
            <w:r>
              <w:rPr>
                <w:sz w:val="19"/>
              </w:rPr>
              <w:t>tedesco</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48</w:t>
            </w:r>
          </w:p>
        </w:tc>
        <w:tc>
          <w:tcPr>
            <w:tcW w:type="dxa" w:w="1440"/>
          </w:tcPr>
          <w:p>
            <w:r>
              <w:rPr>
                <w:sz w:val="19"/>
              </w:rPr>
              <w:t>Munich · Air Dolomiti (26/mese); Cologne-Bonn · Ryanair (13/mese)</w:t>
            </w:r>
          </w:p>
        </w:tc>
      </w:tr>
      <w:tr>
        <w:tc>
          <w:tcPr>
            <w:tcW w:type="dxa" w:w="1440"/>
            <w:shd w:val="clear" w:color="auto" w:fill="EEF2F1"/>
          </w:tcPr>
          <w:p>
            <w:r>
              <w:rPr>
                <w:sz w:val="19"/>
              </w:rPr>
              <w:t>Albania (opportunità)</w:t>
            </w:r>
          </w:p>
        </w:tc>
        <w:tc>
          <w:tcPr>
            <w:tcW w:type="dxa" w:w="1440"/>
            <w:shd w:val="clear" w:color="auto" w:fill="EEF2F1"/>
          </w:tcPr>
          <w:p>
            <w:r>
              <w:rPr>
                <w:sz w:val="19"/>
              </w:rPr>
              <w:t>albanese</w:t>
            </w:r>
          </w:p>
        </w:tc>
        <w:tc>
          <w:tcPr>
            <w:tcW w:type="dxa" w:w="1440"/>
            <w:shd w:val="clear" w:color="auto" w:fill="EEF2F1"/>
          </w:tcPr>
          <w:p>
            <w:r>
              <w:rPr>
                <w:sz w:val="19"/>
              </w:rPr>
              <w:t>Prevalentemente stagionale (luglio→ottobre)</w:t>
            </w:r>
          </w:p>
        </w:tc>
        <w:tc>
          <w:tcPr>
            <w:tcW w:type="dxa" w:w="1440"/>
            <w:shd w:val="clear" w:color="auto" w:fill="EEF2F1"/>
          </w:tcPr>
          <w:p>
            <w:r>
              <w:rPr>
                <w:sz w:val="19"/>
              </w:rPr>
              <w:t>giornaliero</w:t>
            </w:r>
          </w:p>
        </w:tc>
        <w:tc>
          <w:tcPr>
            <w:tcW w:type="dxa" w:w="1440"/>
            <w:shd w:val="clear" w:color="auto" w:fill="EEF2F1"/>
          </w:tcPr>
          <w:p>
            <w:r>
              <w:rPr>
                <w:sz w:val="19"/>
              </w:rPr>
              <w:t>45</w:t>
            </w:r>
          </w:p>
        </w:tc>
        <w:tc>
          <w:tcPr>
            <w:tcW w:type="dxa" w:w="1440"/>
            <w:shd w:val="clear" w:color="auto" w:fill="EEF2F1"/>
          </w:tcPr>
          <w:p>
            <w:r>
              <w:rPr>
                <w:sz w:val="19"/>
              </w:rPr>
              <w:t>Tirana · Wizz Air Malta (45/mese)</w:t>
            </w:r>
          </w:p>
        </w:tc>
      </w:tr>
      <w:tr>
        <w:tc>
          <w:tcPr>
            <w:tcW w:type="dxa" w:w="1440"/>
          </w:tcPr>
          <w:p>
            <w:r>
              <w:rPr>
                <w:sz w:val="19"/>
              </w:rPr>
              <w:t>Hungary (opportunità)</w:t>
            </w:r>
          </w:p>
        </w:tc>
        <w:tc>
          <w:tcPr>
            <w:tcW w:type="dxa" w:w="1440"/>
          </w:tcPr>
          <w:p>
            <w:r>
              <w:rPr>
                <w:sz w:val="19"/>
              </w:rPr>
              <w:t>ungherese</w:t>
            </w:r>
          </w:p>
        </w:tc>
        <w:tc>
          <w:tcPr>
            <w:tcW w:type="dxa" w:w="1440"/>
          </w:tcPr>
          <w:p>
            <w:r>
              <w:rPr>
                <w:sz w:val="19"/>
              </w:rPr>
              <w:t>Prevalentemente stagionale (luglio→ottobre)</w:t>
            </w:r>
          </w:p>
        </w:tc>
        <w:tc>
          <w:tcPr>
            <w:tcW w:type="dxa" w:w="1440"/>
          </w:tcPr>
          <w:p>
            <w:r>
              <w:rPr>
                <w:sz w:val="19"/>
              </w:rPr>
              <w:t>giornaliero</w:t>
            </w:r>
          </w:p>
        </w:tc>
        <w:tc>
          <w:tcPr>
            <w:tcW w:type="dxa" w:w="1440"/>
          </w:tcPr>
          <w:p>
            <w:r>
              <w:rPr>
                <w:sz w:val="19"/>
              </w:rPr>
              <w:t>35</w:t>
            </w:r>
          </w:p>
        </w:tc>
        <w:tc>
          <w:tcPr>
            <w:tcW w:type="dxa" w:w="1440"/>
          </w:tcPr>
          <w:p>
            <w:r>
              <w:rPr>
                <w:sz w:val="19"/>
              </w:rPr>
              <w:t>Budapest · Ryanair (35/mese)</w:t>
            </w:r>
          </w:p>
        </w:tc>
      </w:tr>
      <w:tr>
        <w:tc>
          <w:tcPr>
            <w:tcW w:type="dxa" w:w="1440"/>
            <w:shd w:val="clear" w:color="auto" w:fill="EEF2F1"/>
          </w:tcPr>
          <w:p>
            <w:r>
              <w:rPr>
                <w:sz w:val="19"/>
              </w:rPr>
              <w:t>Belgium (opportunità)</w:t>
            </w:r>
          </w:p>
        </w:tc>
        <w:tc>
          <w:tcPr>
            <w:tcW w:type="dxa" w:w="1440"/>
            <w:shd w:val="clear" w:color="auto" w:fill="EEF2F1"/>
          </w:tcPr>
          <w:p>
            <w:r>
              <w:rPr>
                <w:sz w:val="19"/>
              </w:rPr>
              <w:t>olandese, francese</w:t>
            </w:r>
          </w:p>
        </w:tc>
        <w:tc>
          <w:tcPr>
            <w:tcW w:type="dxa" w:w="1440"/>
            <w:shd w:val="clear" w:color="auto" w:fill="EEF2F1"/>
          </w:tcPr>
          <w:p>
            <w:r>
              <w:rPr>
                <w:sz w:val="19"/>
              </w:rPr>
              <w:t>Tutto l'anno</w:t>
            </w:r>
          </w:p>
        </w:tc>
        <w:tc>
          <w:tcPr>
            <w:tcW w:type="dxa" w:w="1440"/>
            <w:shd w:val="clear" w:color="auto" w:fill="EEF2F1"/>
          </w:tcPr>
          <w:p>
            <w:r>
              <w:rPr>
                <w:sz w:val="19"/>
              </w:rPr>
              <w:t>più volte a settimana</w:t>
            </w:r>
          </w:p>
        </w:tc>
        <w:tc>
          <w:tcPr>
            <w:tcW w:type="dxa" w:w="1440"/>
            <w:shd w:val="clear" w:color="auto" w:fill="EEF2F1"/>
          </w:tcPr>
          <w:p>
            <w:r>
              <w:rPr>
                <w:sz w:val="19"/>
              </w:rPr>
              <w:t>23</w:t>
            </w:r>
          </w:p>
        </w:tc>
        <w:tc>
          <w:tcPr>
            <w:tcW w:type="dxa" w:w="1440"/>
            <w:shd w:val="clear" w:color="auto" w:fill="EEF2F1"/>
          </w:tcPr>
          <w:p>
            <w:r>
              <w:rPr>
                <w:sz w:val="19"/>
              </w:rPr>
              <w:t>Brussels Charleroi (23/mese)</w:t>
            </w:r>
          </w:p>
        </w:tc>
      </w:tr>
      <w:tr>
        <w:tc>
          <w:tcPr>
            <w:tcW w:type="dxa" w:w="1440"/>
          </w:tcPr>
          <w:p>
            <w:r>
              <w:rPr>
                <w:sz w:val="19"/>
              </w:rPr>
              <w:t>France (opportunità)</w:t>
            </w:r>
          </w:p>
        </w:tc>
        <w:tc>
          <w:tcPr>
            <w:tcW w:type="dxa" w:w="1440"/>
          </w:tcPr>
          <w:p>
            <w:r>
              <w:rPr>
                <w:sz w:val="19"/>
              </w:rPr>
              <w:t>francese</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18</w:t>
            </w:r>
          </w:p>
        </w:tc>
        <w:tc>
          <w:tcPr>
            <w:tcW w:type="dxa" w:w="1440"/>
          </w:tcPr>
          <w:p>
            <w:r>
              <w:rPr>
                <w:sz w:val="19"/>
              </w:rPr>
              <w:t>Basel Mulhouse Freiburg · easyJet (9/mese); Paris (Orly) (9/mese)</w:t>
            </w:r>
          </w:p>
        </w:tc>
      </w:tr>
      <w:tr>
        <w:tc>
          <w:tcPr>
            <w:tcW w:type="dxa" w:w="1440"/>
            <w:shd w:val="clear" w:color="auto" w:fill="EEF2F1"/>
          </w:tcPr>
          <w:p>
            <w:r>
              <w:rPr>
                <w:sz w:val="19"/>
              </w:rPr>
              <w:t>Bulgaria (opportunità)</w:t>
            </w:r>
          </w:p>
        </w:tc>
        <w:tc>
          <w:tcPr>
            <w:tcW w:type="dxa" w:w="1440"/>
            <w:shd w:val="clear" w:color="auto" w:fill="EEF2F1"/>
          </w:tcPr>
          <w:p>
            <w:r>
              <w:rPr>
                <w:sz w:val="19"/>
              </w:rPr>
              <w:t>bulgaro</w:t>
            </w:r>
          </w:p>
        </w:tc>
        <w:tc>
          <w:tcPr>
            <w:tcW w:type="dxa" w:w="1440"/>
            <w:shd w:val="clear" w:color="auto" w:fill="EEF2F1"/>
          </w:tcPr>
          <w:p>
            <w:r>
              <w:rPr>
                <w:sz w:val="19"/>
              </w:rPr>
              <w:t>Prevalentemente stagionale (luglio→ottobre)</w:t>
            </w:r>
          </w:p>
        </w:tc>
        <w:tc>
          <w:tcPr>
            <w:tcW w:type="dxa" w:w="1440"/>
            <w:shd w:val="clear" w:color="auto" w:fill="EEF2F1"/>
          </w:tcPr>
          <w:p>
            <w:r>
              <w:rPr>
                <w:sz w:val="19"/>
              </w:rPr>
              <w:t>più volte a settimana</w:t>
            </w:r>
          </w:p>
        </w:tc>
        <w:tc>
          <w:tcPr>
            <w:tcW w:type="dxa" w:w="1440"/>
            <w:shd w:val="clear" w:color="auto" w:fill="EEF2F1"/>
          </w:tcPr>
          <w:p>
            <w:r>
              <w:rPr>
                <w:sz w:val="19"/>
              </w:rPr>
              <w:t>17</w:t>
            </w:r>
          </w:p>
        </w:tc>
        <w:tc>
          <w:tcPr>
            <w:tcW w:type="dxa" w:w="1440"/>
            <w:shd w:val="clear" w:color="auto" w:fill="EEF2F1"/>
          </w:tcPr>
          <w:p>
            <w:r>
              <w:rPr>
                <w:sz w:val="19"/>
              </w:rPr>
              <w:t>Sofia · Wizz Air (17/mese)</w:t>
            </w:r>
          </w:p>
        </w:tc>
      </w:tr>
      <w:tr>
        <w:tc>
          <w:tcPr>
            <w:tcW w:type="dxa" w:w="1440"/>
          </w:tcPr>
          <w:p>
            <w:r>
              <w:rPr>
                <w:sz w:val="19"/>
              </w:rPr>
              <w:t>Lithuania (opportunità)</w:t>
            </w:r>
          </w:p>
        </w:tc>
        <w:tc>
          <w:tcPr>
            <w:tcW w:type="dxa" w:w="1440"/>
          </w:tcPr>
          <w:p>
            <w:r>
              <w:rPr>
                <w:sz w:val="19"/>
              </w:rPr>
              <w:t>lituano</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17</w:t>
            </w:r>
          </w:p>
        </w:tc>
        <w:tc>
          <w:tcPr>
            <w:tcW w:type="dxa" w:w="1440"/>
          </w:tcPr>
          <w:p>
            <w:r>
              <w:rPr>
                <w:sz w:val="19"/>
              </w:rPr>
              <w:t>Kaunas · Ryanair (17/mese)</w:t>
            </w:r>
          </w:p>
        </w:tc>
      </w:tr>
      <w:tr>
        <w:tc>
          <w:tcPr>
            <w:tcW w:type="dxa" w:w="1440"/>
            <w:shd w:val="clear" w:color="auto" w:fill="EEF2F1"/>
          </w:tcPr>
          <w:p>
            <w:r>
              <w:rPr>
                <w:sz w:val="19"/>
              </w:rPr>
              <w:t>Luxembourg</w:t>
            </w:r>
          </w:p>
        </w:tc>
        <w:tc>
          <w:tcPr>
            <w:tcW w:type="dxa" w:w="1440"/>
            <w:shd w:val="clear" w:color="auto" w:fill="EEF2F1"/>
          </w:tcPr>
          <w:p>
            <w:r>
              <w:rPr>
                <w:sz w:val="19"/>
              </w:rPr>
              <w:t>francese, tedesco, lussemburghese</w:t>
            </w:r>
          </w:p>
        </w:tc>
        <w:tc>
          <w:tcPr>
            <w:tcW w:type="dxa" w:w="1440"/>
            <w:shd w:val="clear" w:color="auto" w:fill="EEF2F1"/>
          </w:tcPr>
          <w:p>
            <w:r>
              <w:rPr>
                <w:sz w:val="19"/>
              </w:rPr>
              <w:t>Prevalentemente stagionale (luglio→settembre)</w:t>
            </w:r>
          </w:p>
        </w:tc>
        <w:tc>
          <w:tcPr>
            <w:tcW w:type="dxa" w:w="1440"/>
            <w:shd w:val="clear" w:color="auto" w:fill="EEF2F1"/>
          </w:tcPr>
          <w:p>
            <w:r>
              <w:rPr>
                <w:sz w:val="19"/>
              </w:rPr>
              <w:t>più volte a settimana</w:t>
            </w:r>
          </w:p>
        </w:tc>
        <w:tc>
          <w:tcPr>
            <w:tcW w:type="dxa" w:w="1440"/>
            <w:shd w:val="clear" w:color="auto" w:fill="EEF2F1"/>
          </w:tcPr>
          <w:p>
            <w:r>
              <w:rPr>
                <w:sz w:val="19"/>
              </w:rPr>
              <w:t>13</w:t>
            </w:r>
          </w:p>
        </w:tc>
        <w:tc>
          <w:tcPr>
            <w:tcW w:type="dxa" w:w="1440"/>
            <w:shd w:val="clear" w:color="auto" w:fill="EEF2F1"/>
          </w:tcPr>
          <w:p>
            <w:r>
              <w:rPr>
                <w:sz w:val="19"/>
              </w:rPr>
              <w:t>Luxembourg City · Luxair (13/mese)</w:t>
            </w:r>
          </w:p>
        </w:tc>
      </w:tr>
      <w:tr>
        <w:tc>
          <w:tcPr>
            <w:tcW w:type="dxa" w:w="1440"/>
          </w:tcPr>
          <w:p>
            <w:r>
              <w:rPr>
                <w:sz w:val="19"/>
              </w:rPr>
              <w:t>Austria</w:t>
            </w:r>
          </w:p>
        </w:tc>
        <w:tc>
          <w:tcPr>
            <w:tcW w:type="dxa" w:w="1440"/>
          </w:tcPr>
          <w:p>
            <w:r>
              <w:rPr>
                <w:sz w:val="19"/>
              </w:rPr>
              <w:t>tedesco</w:t>
            </w:r>
          </w:p>
        </w:tc>
        <w:tc>
          <w:tcPr>
            <w:tcW w:type="dxa" w:w="1440"/>
          </w:tcPr>
          <w:p>
            <w:r>
              <w:rPr>
                <w:sz w:val="19"/>
              </w:rPr>
              <w:t>Prevalentemente stagionale (luglio→agosto)</w:t>
            </w:r>
          </w:p>
        </w:tc>
        <w:tc>
          <w:tcPr>
            <w:tcW w:type="dxa" w:w="1440"/>
          </w:tcPr>
          <w:p>
            <w:r>
              <w:rPr>
                <w:sz w:val="19"/>
              </w:rPr>
              <w:t>più volte a settimana</w:t>
            </w:r>
          </w:p>
        </w:tc>
        <w:tc>
          <w:tcPr>
            <w:tcW w:type="dxa" w:w="1440"/>
          </w:tcPr>
          <w:p>
            <w:r>
              <w:rPr>
                <w:sz w:val="19"/>
              </w:rPr>
              <w:t>12</w:t>
            </w:r>
          </w:p>
        </w:tc>
        <w:tc>
          <w:tcPr>
            <w:tcW w:type="dxa" w:w="1440"/>
          </w:tcPr>
          <w:p>
            <w:r>
              <w:rPr>
                <w:sz w:val="19"/>
              </w:rPr>
              <w:t>Vienna · Ryanair (12/mese)</w:t>
            </w:r>
          </w:p>
        </w:tc>
      </w:tr>
      <w:tr>
        <w:tc>
          <w:tcPr>
            <w:tcW w:type="dxa" w:w="1440"/>
            <w:shd w:val="clear" w:color="auto" w:fill="EEF2F1"/>
          </w:tcPr>
          <w:p>
            <w:r>
              <w:rPr>
                <w:sz w:val="19"/>
              </w:rPr>
              <w:t>Spain (opportunità)</w:t>
            </w:r>
          </w:p>
        </w:tc>
        <w:tc>
          <w:tcPr>
            <w:tcW w:type="dxa" w:w="1440"/>
            <w:shd w:val="clear" w:color="auto" w:fill="EEF2F1"/>
          </w:tcPr>
          <w:p>
            <w:r>
              <w:rPr>
                <w:sz w:val="19"/>
              </w:rPr>
              <w:t>spagnolo</w:t>
            </w:r>
          </w:p>
        </w:tc>
        <w:tc>
          <w:tcPr>
            <w:tcW w:type="dxa" w:w="1440"/>
            <w:shd w:val="clear" w:color="auto" w:fill="EEF2F1"/>
          </w:tcPr>
          <w:p>
            <w:r>
              <w:rPr>
                <w:sz w:val="19"/>
              </w:rPr>
              <w:t>Prevalentemente stagionale</w:t>
            </w:r>
          </w:p>
        </w:tc>
        <w:tc>
          <w:tcPr>
            <w:tcW w:type="dxa" w:w="1440"/>
            <w:shd w:val="clear" w:color="auto" w:fill="EEF2F1"/>
          </w:tcPr>
          <w:p>
            <w:r>
              <w:rPr>
                <w:sz w:val="19"/>
              </w:rPr>
              <w:t>più volte a settimana</w:t>
            </w:r>
          </w:p>
        </w:tc>
        <w:tc>
          <w:tcPr>
            <w:tcW w:type="dxa" w:w="1440"/>
            <w:shd w:val="clear" w:color="auto" w:fill="EEF2F1"/>
          </w:tcPr>
          <w:p>
            <w:r>
              <w:rPr>
                <w:sz w:val="19"/>
              </w:rPr>
              <w:t>9</w:t>
            </w:r>
          </w:p>
        </w:tc>
        <w:tc>
          <w:tcPr>
            <w:tcW w:type="dxa" w:w="1440"/>
            <w:shd w:val="clear" w:color="auto" w:fill="EEF2F1"/>
          </w:tcPr>
          <w:p>
            <w:r>
              <w:rPr>
                <w:sz w:val="19"/>
              </w:rPr>
              <w:t>Barcelona (9/mese)</w:t>
            </w:r>
          </w:p>
        </w:tc>
      </w:tr>
      <w:tr>
        <w:tc>
          <w:tcPr>
            <w:tcW w:type="dxa" w:w="1440"/>
          </w:tcPr>
          <w:p>
            <w:r>
              <w:rPr>
                <w:sz w:val="19"/>
              </w:rPr>
              <w:t>Czechia (opportunità)</w:t>
            </w:r>
          </w:p>
        </w:tc>
        <w:tc>
          <w:tcPr>
            <w:tcW w:type="dxa" w:w="1440"/>
          </w:tcPr>
          <w:p>
            <w:r>
              <w:rPr>
                <w:sz w:val="19"/>
              </w:rPr>
              <w:t>ceco</w:t>
            </w:r>
          </w:p>
        </w:tc>
        <w:tc>
          <w:tcPr>
            <w:tcW w:type="dxa" w:w="1440"/>
          </w:tcPr>
          <w:p>
            <w:r>
              <w:rPr>
                <w:sz w:val="19"/>
              </w:rPr>
              <w:t>Prevalentemente stagionale (luglio→ottobre)</w:t>
            </w:r>
          </w:p>
        </w:tc>
        <w:tc>
          <w:tcPr>
            <w:tcW w:type="dxa" w:w="1440"/>
          </w:tcPr>
          <w:p>
            <w:r>
              <w:rPr>
                <w:sz w:val="19"/>
              </w:rPr>
              <w:t>più volte a settimana</w:t>
            </w:r>
          </w:p>
        </w:tc>
        <w:tc>
          <w:tcPr>
            <w:tcW w:type="dxa" w:w="1440"/>
          </w:tcPr>
          <w:p>
            <w:r>
              <w:rPr>
                <w:sz w:val="19"/>
              </w:rPr>
              <w:t>8</w:t>
            </w:r>
          </w:p>
        </w:tc>
        <w:tc>
          <w:tcPr>
            <w:tcW w:type="dxa" w:w="1440"/>
          </w:tcPr>
          <w:p>
            <w:r>
              <w:rPr>
                <w:sz w:val="19"/>
              </w:rPr>
              <w:t>Prague · Ryanair (8/mese)</w:t>
            </w:r>
          </w:p>
        </w:tc>
      </w:tr>
      <w:tr>
        <w:tc>
          <w:tcPr>
            <w:tcW w:type="dxa" w:w="1440"/>
            <w:shd w:val="clear" w:color="auto" w:fill="EEF2F1"/>
          </w:tcPr>
          <w:p>
            <w:r>
              <w:rPr>
                <w:sz w:val="19"/>
              </w:rPr>
              <w:t>Moldova (opportunità)</w:t>
            </w:r>
          </w:p>
        </w:tc>
        <w:tc>
          <w:tcPr>
            <w:tcW w:type="dxa" w:w="1440"/>
            <w:shd w:val="clear" w:color="auto" w:fill="EEF2F1"/>
          </w:tcPr>
          <w:p>
            <w:r>
              <w:rPr>
                <w:sz w:val="19"/>
              </w:rPr>
              <w:t>rumeno, russo</w:t>
            </w:r>
          </w:p>
        </w:tc>
        <w:tc>
          <w:tcPr>
            <w:tcW w:type="dxa" w:w="1440"/>
            <w:shd w:val="clear" w:color="auto" w:fill="EEF2F1"/>
          </w:tcPr>
          <w:p>
            <w:r>
              <w:rPr>
                <w:sz w:val="19"/>
              </w:rPr>
              <w:t>Prevalentemente stagionale (luglio→settembre)</w:t>
            </w:r>
          </w:p>
        </w:tc>
        <w:tc>
          <w:tcPr>
            <w:tcW w:type="dxa" w:w="1440"/>
            <w:shd w:val="clear" w:color="auto" w:fill="EEF2F1"/>
          </w:tcPr>
          <w:p>
            <w:r>
              <w:rPr>
                <w:sz w:val="19"/>
              </w:rPr>
              <w:t>più volte a settimana</w:t>
            </w:r>
          </w:p>
        </w:tc>
        <w:tc>
          <w:tcPr>
            <w:tcW w:type="dxa" w:w="1440"/>
            <w:shd w:val="clear" w:color="auto" w:fill="EEF2F1"/>
          </w:tcPr>
          <w:p>
            <w:r>
              <w:rPr>
                <w:sz w:val="19"/>
              </w:rPr>
              <w:t>8</w:t>
            </w:r>
          </w:p>
        </w:tc>
        <w:tc>
          <w:tcPr>
            <w:tcW w:type="dxa" w:w="1440"/>
            <w:shd w:val="clear" w:color="auto" w:fill="EEF2F1"/>
          </w:tcPr>
          <w:p>
            <w:r>
              <w:rPr>
                <w:sz w:val="19"/>
              </w:rPr>
              <w:t>Chișinău · Wizz Air Malta (8/mese)</w:t>
            </w:r>
          </w:p>
        </w:tc>
      </w:tr>
    </w:tbl>
    <w:p>
      <w:pPr>
        <w:spacing w:after="160"/>
      </w:pPr>
    </w:p>
    <w:p>
      <w:r>
        <w:t>Come leggerla: L'origine del volo è un proxy della lingua/mercato, non della nazionalità dei passeggeri. Solo rotte di linea dirette (non presenze reali né voli con scalo). La stagionalità riflette lo snapshot degli orari: affidabile sui collegamenti stagionali dedicati, da confermare sui grandi hub.</w:t>
      </w:r>
    </w:p>
    <w:p>
      <w:r>
        <w:t>Il mix ospiti reale è dichiaratamente italiano (84,8% delle recensioni Booking), con un tedesco presente ma minoritario (5,1%) e un inglese ancora più marginale (3,7%): non c'è qui una base estera da 'rilanciare', ma una domanda domestica da consolidare e una manciata di mercati esteri da testare con metodo, non da inseguire con investimenti pesanti. La connettività aerea aggiunge un tassello utile: Regno Unito, Polonia, Albania, Ungheria, Belgio, Francia e Bulgaria hanno collegamenti diretti verso l'aeroporto di riferimento, ma per tutti — Germania esclusa — non risulta ancora una presenza reale negli ospiti. Questo distingue nettamente due categorie di azione: governare il canale tedesco, già presente ma sotto-sviluppato rispetto al potenziale (rating HolidayCheck debole su base ridotta), e trattare gli altri mercati collegati via volo come ipotesi da validare con un test mirato, non come domanda acquisita. Sul fronte OTA, il compito non è ridurne il peso ma tenerle presidiate: sono il canale con cui la maggioranza dei mercati esteri scopre la struttura, e vanno gestite come vetrina coerente con il posizionamento fronte mare, non abbandonate a favore di un diretto che allo stato attuale non ha né dati di partenza né automatismi di parity verificati.</w:t>
      </w:r>
    </w:p>
    <w:p>
      <w:pPr>
        <w:spacing w:before="160" w:after="40"/>
      </w:pPr>
      <w:r>
        <w:rPr>
          <w:b/>
          <w:color w:val="2F5D62"/>
          <w:sz w:val="24"/>
        </w:rPr>
        <w:t>Obiettivi misurabili</w:t>
      </w:r>
    </w:p>
    <w:p>
      <w:pPr>
        <w:pStyle w:val="ListBullet"/>
      </w:pPr>
      <w:r>
        <w:t>Mappare e formalizzare la presenza sul portale leader del mercato tedesco (obiettivo di processo: aggiornare scheda, foto e risposte in lingua, la baseline di rating su base ridotta non consente un target numerico)</w:t>
      </w:r>
    </w:p>
    <w:p>
      <w:pPr>
        <w:pStyle w:val="ListBullet"/>
      </w:pPr>
      <w:r>
        <w:t>Eseguire l'audit di parity diretto-vs-OTA sui principali metasearch prima di qualunque investimento su campagne dirette (obiettivo di processo: input oggi mancante)</w:t>
      </w:r>
    </w:p>
    <w:p>
      <w:pPr>
        <w:pStyle w:val="ListBullet"/>
      </w:pPr>
      <w:r>
        <w:t>Testare, con un pilota a budget contenuto e finestra stagionale coerente, uno dei mercati collegati via volo ma non ancora presenti nel mix ospiti (obiettivo di processo: validare l'ipotesi prima di scalare)</w:t>
      </w:r>
    </w:p>
    <w:p>
      <w:pPr>
        <w:spacing w:before="160" w:after="40"/>
      </w:pPr>
      <w:r>
        <w:rPr>
          <w:b/>
          <w:color w:val="2F5D62"/>
          <w:sz w:val="24"/>
        </w:rPr>
        <w:t>Azioni</w:t>
      </w:r>
    </w:p>
    <w:p>
      <w:pPr>
        <w:pStyle w:val="ListBullet"/>
      </w:pPr>
      <w:r>
        <w:t>Il mercato tedesco è già nel mix ospiti ma con una presenza debole sul portale di riferimento del proprio paese: questo significa che chi in Germania cerca conferma prima di prenotare trova un segnale povero, proprio nel canale che quel pubblico consulta per primo. L'azione è un presidio strutturato della scheda su quel portale — traduzione corretta, foto aggiornate, risposta alle recensioni esistenti in tedesco — accompagnato da una pagina o sezione del sito in lingua tedesca coerente con l'offerta camere vista mare, per dare al canale diretto un punto d'appoggio linguistico che oggi manca.</w:t>
      </w:r>
    </w:p>
    <w:p>
      <w:pPr>
        <w:pStyle w:val="ListBullet"/>
      </w:pPr>
      <w:r>
        <w:t>La connettività aerea segnala domanda potenziale su una serie di mercati (Regno Unito, Polonia, Ungheria, Belgio, Francia, tra gli altri) che oggi non figurano tra gli ospiti reali: prima di destinare budget a questi mercati, l'azione è impostare un singolo pilota — una landing page nella lingua del mercato scelto più una campagna PPC contenuta nella finestra stagionale in cui il collegamento aereo è attivo — per verificare se la connettività si traduce davvero in prenotazioni prima di allargare l'investimento ad altri mercati collegati.</w:t>
      </w:r>
    </w:p>
    <w:p>
      <w:pPr>
        <w:pStyle w:val="ListBullet"/>
      </w:pPr>
      <w:r>
        <w:t>Nessun dato oggi conferma se il prezzo diretto sia allineato o superiore a quello mostrato sui metasearch: se il diretto costasse di più, ogni euro speso per portare traffico al sito si tradurrebbe comunque in una prenotazione OTA. L'azione, propedeutica a qualsiasi altra spesa sul diretto, è un audit di parity sui principali metasearch, da completare prima di attivare i test sui mercati collegati via volo.</w:t>
      </w:r>
    </w:p>
    <w:p>
      <w:pPr>
        <w:pStyle w:val="ListBullet"/>
      </w:pPr>
      <w:r>
        <w:t>Le OTA restano oggi il canale con cui la gran parte della domanda estera scopre la struttura, incluso il segmento tedesco: l'azione è mantenerne il presidio — descrizione, foto e categorizzazione coerenti con il posizionamento fronte mare e con il Centro Congressi — trattandole come canale di scoperta da governare, non come terreno di battaglia da sottrarre al diretto in questa fase.</w:t>
      </w:r>
    </w:p>
    <w:p>
      <w:pPr>
        <w:spacing w:before="160" w:after="40"/>
      </w:pPr>
      <w:r>
        <w:rPr>
          <w:b/>
          <w:color w:val="2F5D62"/>
          <w:sz w:val="24"/>
        </w:rPr>
        <w:t>KPI</w:t>
      </w:r>
    </w:p>
    <w:p>
      <w:pPr>
        <w:pStyle w:val="ListBullet"/>
      </w:pPr>
      <w:r>
        <w:t>v. sez. 06 per i KPI numerici di distribuzione e canale</w:t>
      </w:r>
    </w:p>
    <w:p>
      <w:pPr>
        <w:spacing w:before="160" w:after="40"/>
      </w:pPr>
      <w:r>
        <w:rPr>
          <w:b/>
          <w:color w:val="2F5D62"/>
          <w:sz w:val="24"/>
        </w:rPr>
        <w:t>Note esecutive</w:t>
      </w:r>
    </w:p>
    <w:p>
      <w:pPr>
        <w:pStyle w:val="ListBullet"/>
      </w:pPr>
      <w:r>
        <w:t>L'audit di parity sui metasearch è un prerequisito tecnico, non opzionale: senza quel dato ogni stima di ritorno su campagne dirette resta priva di fondamento.</w:t>
      </w:r>
    </w:p>
    <w:p>
      <w:pPr>
        <w:pStyle w:val="ListBullet"/>
      </w:pPr>
      <w:r>
        <w:t>Il pilota sui mercati collegati via volo va trattato come un test a budget limitato e a esito aperto: l'obiettivo è raccogliere un primo segnale di conversione, non pianificare una campagna a regime.</w:t>
      </w:r>
    </w:p>
    <w:p>
      <w:pPr>
        <w:pStyle w:val="ListBullet"/>
      </w:pPr>
      <w:r>
        <w:t>La finestra stagionale dei collegamenti aerei (prevalentemente luglio-ottobre per la maggior parte dei mercati, continua per il Belgio) va rispettata nella programmazione del pilota: aprire il test fuori da quella finestra invalida il risultato.</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annuale con quota fiere/business. Mesi di apertura: gen, feb, mar, apr, mag, giu, lug, ago, set, ott, nov, dic.</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gen</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DE gen; IT_estate gen</w:t>
            </w:r>
          </w:p>
        </w:tc>
        <w:tc>
          <w:tcPr>
            <w:tcW w:type="dxa" w:w="2880"/>
            <w:shd w:val="clear" w:color="auto" w:fill="EEF2F1"/>
          </w:tcPr>
          <w:p>
            <w:r>
              <w:rPr>
                <w:sz w:val="19"/>
              </w:rPr>
              <w:t>anticipo derivato dalle finestre di prenotazione</w:t>
            </w:r>
          </w:p>
        </w:tc>
      </w:tr>
      <w:tr>
        <w:tc>
          <w:tcPr>
            <w:tcW w:type="dxa" w:w="2880"/>
          </w:tcPr>
          <w:p>
            <w:r>
              <w:rPr>
                <w:sz w:val="19"/>
              </w:rPr>
              <w:t>Sprint nei mesi morbidi</w:t>
            </w:r>
          </w:p>
        </w:tc>
        <w:tc>
          <w:tcPr>
            <w:tcW w:type="dxa" w:w="2880"/>
          </w:tcPr>
          <w:p>
            <w:r>
              <w:rPr>
                <w:sz w:val="19"/>
              </w:rPr>
              <w:t>gen, feb, nov, dic</w:t>
            </w:r>
          </w:p>
        </w:tc>
        <w:tc>
          <w:tcPr>
            <w:tcW w:type="dxa" w:w="2880"/>
          </w:tcPr>
          <w:p>
            <w:r>
              <w:rPr>
                <w:sz w:val="19"/>
              </w:rPr>
              <w:t>l'annuale non ha cantiere di chiusura: lavori a rotazione</w:t>
            </w:r>
          </w:p>
        </w:tc>
      </w:tr>
      <w:tr>
        <w:tc>
          <w:tcPr>
            <w:tcW w:type="dxa" w:w="2880"/>
            <w:shd w:val="clear" w:color="auto" w:fill="EEF2F1"/>
          </w:tcPr>
          <w:p>
            <w:r>
              <w:rPr>
                <w:sz w:val="19"/>
              </w:rPr>
              <w:t>Piano presenza fiere</w:t>
            </w:r>
          </w:p>
        </w:tc>
        <w:tc>
          <w:tcPr>
            <w:tcW w:type="dxa" w:w="2880"/>
            <w:shd w:val="clear" w:color="auto" w:fill="EEF2F1"/>
          </w:tcPr>
          <w:p>
            <w:r>
              <w:rPr>
                <w:sz w:val="19"/>
              </w:rPr>
              <w:t>RiminiWellness, World Ducati Week, Meeting di Rimini, Tecna, TTG/SIA/SUN, Ecomondo, IBE, SIGEP, Beer&amp;Food Attraction, KEY</w:t>
            </w:r>
          </w:p>
        </w:tc>
        <w:tc>
          <w:tcPr>
            <w:tcW w:type="dxa" w:w="2880"/>
            <w:shd w:val="clear" w:color="auto" w:fill="EEF2F1"/>
          </w:tcPr>
          <w:p>
            <w:r>
              <w:rPr>
                <w:sz w:val="19"/>
              </w:rPr>
              <w:t>una pagina/offerta per fiera, con navetta e convenzioni</w:t>
            </w:r>
          </w:p>
        </w:tc>
      </w:tr>
      <w:tr>
        <w:tc>
          <w:tcPr>
            <w:tcW w:type="dxa" w:w="2880"/>
          </w:tcPr>
          <w:p>
            <w:r>
              <w:rPr>
                <w:sz w:val="19"/>
              </w:rPr>
              <w:t>Picchi evento di destinazione</w:t>
            </w:r>
          </w:p>
        </w:tc>
        <w:tc>
          <w:tcPr>
            <w:tcW w:type="dxa" w:w="2880"/>
          </w:tcPr>
          <w:p>
            <w:r>
              <w:rPr>
                <w:sz w:val="19"/>
              </w:rPr>
              <w:t>Notte Rosa (2026-06-19)</w:t>
            </w:r>
          </w:p>
        </w:tc>
        <w:tc>
          <w:tcPr>
            <w:tcW w:type="dxa" w:w="2880"/>
          </w:tcPr>
          <w:p>
            <w:r>
              <w:rPr>
                <w:sz w:val="19"/>
              </w:rPr>
              <w:t>picchi di domanda weekend da nominare nella roadmap</w:t>
            </w:r>
          </w:p>
        </w:tc>
      </w:tr>
      <w:tr>
        <w:tc>
          <w:tcPr>
            <w:tcW w:type="dxa" w:w="2880"/>
            <w:shd w:val="clear" w:color="auto" w:fill="EEF2F1"/>
          </w:tcPr>
          <w:p>
            <w:r>
              <w:rPr>
                <w:sz w:val="19"/>
              </w:rPr>
              <w:t>Festività e ponti (fuori picco)</w:t>
            </w:r>
          </w:p>
        </w:tc>
        <w:tc>
          <w:tcPr>
            <w:tcW w:type="dxa" w:w="2880"/>
            <w:shd w:val="clear" w:color="auto" w:fill="EEF2F1"/>
          </w:tcPr>
          <w:p>
            <w:r>
              <w:rPr>
                <w:sz w:val="19"/>
              </w:rPr>
              <w:t>Ognissanti, Immacolata (ponte), Natale (weekend lungo), Santo Stefano, Capodanno (weekend lungo), Epifania, Pasqua, Pasquetta (weekend lungo), Liberazione, Festa del Lavoro, Festa della Repubblica</w:t>
            </w:r>
          </w:p>
        </w:tc>
        <w:tc>
          <w:tcPr>
            <w:tcW w:type="dxa" w:w="2880"/>
            <w:shd w:val="clear" w:color="auto" w:fill="EEF2F1"/>
          </w:tcPr>
          <w:p>
            <w:r>
              <w:rPr>
                <w:sz w:val="19"/>
              </w:rPr>
              <w:t>momenti-prodotto di bassa/media stagione: pacchetti dedicati; i ponti sono meteo-dipendenti, a finestra corta</w:t>
            </w:r>
          </w:p>
        </w:tc>
      </w:tr>
      <w:tr>
        <w:tc>
          <w:tcPr>
            <w:tcW w:type="dxa" w:w="2880"/>
          </w:tcPr>
          <w:p>
            <w:r>
              <w:rPr>
                <w:sz w:val="19"/>
              </w:rPr>
              <w:t>Prodotto di bassa stagione</w:t>
            </w:r>
          </w:p>
        </w:tc>
        <w:tc>
          <w:tcPr>
            <w:tcW w:type="dxa" w:w="2880"/>
          </w:tcPr>
          <w:p>
            <w:r>
              <w:rPr>
                <w:sz w:val="19"/>
              </w:rPr>
              <w:t>pacchetti benessere e festività</w:t>
            </w:r>
          </w:p>
        </w:tc>
        <w:tc>
          <w:tcPr>
            <w:tcW w:type="dxa" w:w="2880"/>
          </w:tcPr>
          <w:p>
            <w:r>
              <w:rPr>
                <w:sz w:val="19"/>
              </w:rPr>
              <w:t>spa/piscina riscaldata: il prodotto che riempie l'inverno</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gen</w:t>
            </w:r>
          </w:p>
        </w:tc>
        <w:tc>
          <w:tcPr>
            <w:tcW w:type="dxa" w:w="2160"/>
          </w:tcPr>
          <w:p>
            <w:r>
              <w:rPr>
                <w:sz w:val="19"/>
              </w:rPr>
              <w:t>giu</w:t>
            </w:r>
          </w:p>
        </w:tc>
        <w:tc>
          <w:tcPr>
            <w:tcW w:type="dxa" w:w="2160"/>
          </w:tcPr>
          <w:p>
            <w:r>
              <w:rPr>
                <w:sz w:val="19"/>
              </w:rPr>
              <w:t>5</w:t>
            </w:r>
          </w:p>
        </w:tc>
      </w:tr>
    </w:tbl>
    <w:p>
      <w:pPr>
        <w:spacing w:after="160"/>
      </w:pPr>
    </w:p>
    <w:p>
      <w:r>
        <w:t>L'Hotel Mediterraneo è una struttura year-round mista fiera-business: apertura tutto l'anno, sale meeting attive, front desk presidiato ogni ora, domanda leisure che si sovrappone a quella congressuale invece di alternarsi ad essa. Questo significa che non esiste un cantiere tecnico da confinare in bassa stagione: gli interventi su sito, dati strutturati, contenuti e RFP vanno inseriti a sprint nei mesi di minore pressione commerciale, senza mai sospendere la vendita. La cadenza sotto è costruita sui vincoli reali della struttura — il calendario fieristico del Palazzo dei Congressi, i pesi di segmento del mix ospiti e il gap di visibilità organica già quantificato — e non su un calendario stagionale generico.</w:t>
      </w:r>
    </w:p>
    <w:p>
      <w:pPr>
        <w:spacing w:before="160" w:after="40"/>
      </w:pPr>
      <w:r>
        <w:rPr>
          <w:b/>
          <w:color w:val="2F5D62"/>
          <w:sz w:val="24"/>
        </w:rPr>
        <w:t>Obiettivi misurabili</w:t>
      </w:r>
    </w:p>
    <w:p>
      <w:pPr>
        <w:pStyle w:val="ListBullet"/>
      </w:pPr>
      <w:r>
        <w:t>Completare entro il primo trimestre l'implementazione dei dati strutturati (Hotel, LodgingBusiness, FAQPage, AggregateRating) sulle pagine segmento, oggi assenti su tutto il sito (v. sez. 06)</w:t>
      </w:r>
    </w:p>
    <w:p>
      <w:pPr>
        <w:pStyle w:val="ListBullet"/>
      </w:pPr>
      <w:r>
        <w:t>Attivare e verificare entro il primo trimestre il form RFP dedicato sulla pagina meeting/congressi, oggi non presente</w:t>
      </w:r>
    </w:p>
    <w:p>
      <w:pPr>
        <w:pStyle w:val="ListBullet"/>
      </w:pPr>
      <w:r>
        <w:t>Ripetere l'audit di visibilità sugli assistenti AI con credenziali valide su Gemini e Perplexity entro il primo trimestre, per chiudere il gap di misurazione segnalato</w:t>
      </w:r>
    </w:p>
    <w:p>
      <w:pPr>
        <w:pStyle w:val="ListBullet"/>
      </w:pPr>
      <w:r>
        <w:t>Portare in top 10 la query non-brand a maggior volume del comparto entro l'orizzonte annuale (v. sez. 06)</w:t>
      </w:r>
    </w:p>
    <w:p>
      <w:pPr>
        <w:pStyle w:val="ListBullet"/>
      </w:pPr>
      <w:r>
        <w:t>Eseguire l'audit di parity sui principali metasearch prima dell'apertura vendite sui mercati esteri a maggiore lead time</w:t>
      </w:r>
    </w:p>
    <w:p>
      <w:pPr>
        <w:spacing w:before="160" w:after="40"/>
      </w:pPr>
      <w:r>
        <w:rPr>
          <w:b/>
          <w:color w:val="2F5D62"/>
          <w:sz w:val="24"/>
        </w:rPr>
        <w:t>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Trimestre</w:t>
            </w:r>
          </w:p>
        </w:tc>
        <w:tc>
          <w:tcPr>
            <w:tcW w:type="dxa" w:w="2160"/>
            <w:shd w:val="clear" w:color="auto" w:fill="2F5D62"/>
          </w:tcPr>
          <w:p>
            <w:r>
              <w:rPr>
                <w:b/>
                <w:color w:val="FFFFFF"/>
                <w:sz w:val="19"/>
              </w:rPr>
              <w:t>Fase</w:t>
            </w:r>
          </w:p>
        </w:tc>
        <w:tc>
          <w:tcPr>
            <w:tcW w:type="dxa" w:w="2160"/>
            <w:shd w:val="clear" w:color="auto" w:fill="2F5D62"/>
          </w:tcPr>
          <w:p>
            <w:r>
              <w:rPr>
                <w:b/>
                <w:color w:val="FFFFFF"/>
                <w:sz w:val="19"/>
              </w:rPr>
              <w:t>Azioni prioritarie</w:t>
            </w:r>
          </w:p>
        </w:tc>
        <w:tc>
          <w:tcPr>
            <w:tcW w:type="dxa" w:w="2160"/>
            <w:shd w:val="clear" w:color="auto" w:fill="2F5D62"/>
          </w:tcPr>
          <w:p>
            <w:r>
              <w:rPr>
                <w:b/>
                <w:color w:val="FFFFFF"/>
                <w:sz w:val="19"/>
              </w:rPr>
              <w:t>Owner</w:t>
            </w:r>
          </w:p>
        </w:tc>
      </w:tr>
      <w:tr>
        <w:tc>
          <w:tcPr>
            <w:tcW w:type="dxa" w:w="2160"/>
          </w:tcPr>
          <w:p>
            <w:r>
              <w:rPr>
                <w:sz w:val="19"/>
              </w:rPr>
              <w:t>T3 2026 (lug-set)</w:t>
            </w:r>
          </w:p>
        </w:tc>
        <w:tc>
          <w:tcPr>
            <w:tcW w:type="dxa" w:w="2160"/>
          </w:tcPr>
          <w:p>
            <w:r>
              <w:rPr>
                <w:sz w:val="19"/>
              </w:rPr>
              <w:t>Presidio in corso + raccolta materiale</w:t>
            </w:r>
          </w:p>
        </w:tc>
        <w:tc>
          <w:tcPr>
            <w:tcW w:type="dxa" w:w="2160"/>
          </w:tcPr>
          <w:p>
            <w:r>
              <w:rPr>
                <w:sz w:val="19"/>
              </w:rPr>
              <w:t>Nessun nuovo cantiere tecnico in questa finestra: la struttura è in piena pressione commerciale su leisure estivo e code congressuali di inizio autunno. Si lavora solo su gestione reputazione quotidiana e raccolta sistematica di foto/video reali (camere, piscina, sale meeting in uso, colazione) da riutilizzare nei contenuti del trimestre successivo, poiché un hotel a pieno regime è l'unico momento per catturare materiale autentico sulle sale eventi e sul fronte mare.</w:t>
            </w:r>
          </w:p>
        </w:tc>
        <w:tc>
          <w:tcPr>
            <w:tcW w:type="dxa" w:w="2160"/>
          </w:tcPr>
          <w:p>
            <w:r>
              <w:rPr>
                <w:sz w:val="19"/>
              </w:rPr>
              <w:t>Direzione + Marketing</w:t>
            </w:r>
          </w:p>
        </w:tc>
      </w:tr>
      <w:tr>
        <w:tc>
          <w:tcPr>
            <w:tcW w:type="dxa" w:w="2160"/>
            <w:shd w:val="clear" w:color="auto" w:fill="EEF2F1"/>
          </w:tcPr>
          <w:p>
            <w:r>
              <w:rPr>
                <w:sz w:val="19"/>
              </w:rPr>
              <w:t>T4 2026 (ott-dic)</w:t>
            </w:r>
          </w:p>
        </w:tc>
        <w:tc>
          <w:tcPr>
            <w:tcW w:type="dxa" w:w="2160"/>
            <w:shd w:val="clear" w:color="auto" w:fill="EEF2F1"/>
          </w:tcPr>
          <w:p>
            <w:r>
              <w:rPr>
                <w:sz w:val="19"/>
              </w:rPr>
              <w:t>Sprint tecnico e contenuti</w:t>
            </w:r>
          </w:p>
        </w:tc>
        <w:tc>
          <w:tcPr>
            <w:tcW w:type="dxa" w:w="2160"/>
            <w:shd w:val="clear" w:color="auto" w:fill="EEF2F1"/>
          </w:tcPr>
          <w:p>
            <w:r>
              <w:rPr>
                <w:sz w:val="19"/>
              </w:rPr>
              <w:t>Finestra a pressione commerciale più bassa: qui si concentra lo sprint sui dati strutturati mancanti (Hotel, LodgingBusiness, FAQPage, AggregateRating) sulle pagine camere, famiglie, business ed eventi, e la costruzione del form RFP sulla pagina meeting/congressi con campi su capienza, date e servizi richiesti. In parallelo si avvia la produzione dei contenuti factual sulla pagina servizi-per-bambini (FAQ con schema) per aggredire l'assenza rilevata su assistenti AI nel segmento famiglia, e si pubblica il primo case study B2B con dati quantitativi (partecipanti, servizi) su un evento aziendale già ospitato.</w:t>
            </w:r>
          </w:p>
        </w:tc>
        <w:tc>
          <w:tcPr>
            <w:tcW w:type="dxa" w:w="2160"/>
            <w:shd w:val="clear" w:color="auto" w:fill="EEF2F1"/>
          </w:tcPr>
          <w:p>
            <w:r>
              <w:rPr>
                <w:sz w:val="19"/>
              </w:rPr>
              <w:t>Web agency + Marketing</w:t>
            </w:r>
          </w:p>
        </w:tc>
      </w:tr>
      <w:tr>
        <w:tc>
          <w:tcPr>
            <w:tcW w:type="dxa" w:w="2160"/>
          </w:tcPr>
          <w:p>
            <w:r>
              <w:rPr>
                <w:sz w:val="19"/>
              </w:rPr>
              <w:t>T1 2027 (gen-mar)</w:t>
            </w:r>
          </w:p>
        </w:tc>
        <w:tc>
          <w:tcPr>
            <w:tcW w:type="dxa" w:w="2160"/>
          </w:tcPr>
          <w:p>
            <w:r>
              <w:rPr>
                <w:sz w:val="19"/>
              </w:rPr>
              <w:t>Verifica e apertura vendite mercati a lead lungo</w:t>
            </w:r>
          </w:p>
        </w:tc>
        <w:tc>
          <w:tcPr>
            <w:tcW w:type="dxa" w:w="2160"/>
          </w:tcPr>
          <w:p>
            <w:r>
              <w:rPr>
                <w:sz w:val="19"/>
              </w:rPr>
              <w:t>Si ripete l'audit di visibilità AI con credenziali valide su Gemini e Perplexity per completare il quadro provvisorio oggi limitato a OpenAI, e si esegue l'audit di parity diretto/OTA sui principali metasearch prima di aprire qualunque investimento pubblicitario diretto. È la finestra in cui, coerentemente con i lead time più lunghi dei mercati esteri, si apre la comunicazione verso i mercati raggiungibili per volo diretto (tedesco già presente nel mix, oltre alle rotte stagionali emergenti) e si prepara la vetrina di offerte per la stagione successiva.</w:t>
            </w:r>
          </w:p>
        </w:tc>
        <w:tc>
          <w:tcPr>
            <w:tcW w:type="dxa" w:w="2160"/>
          </w:tcPr>
          <w:p>
            <w:r>
              <w:rPr>
                <w:sz w:val="19"/>
              </w:rPr>
              <w:t>Marketing + Revenue</w:t>
            </w:r>
          </w:p>
        </w:tc>
      </w:tr>
      <w:tr>
        <w:tc>
          <w:tcPr>
            <w:tcW w:type="dxa" w:w="2160"/>
            <w:shd w:val="clear" w:color="auto" w:fill="EEF2F1"/>
          </w:tcPr>
          <w:p>
            <w:r>
              <w:rPr>
                <w:sz w:val="19"/>
              </w:rPr>
              <w:t>T2 2027 (apr-giu)</w:t>
            </w:r>
          </w:p>
        </w:tc>
        <w:tc>
          <w:tcPr>
            <w:tcW w:type="dxa" w:w="2160"/>
            <w:shd w:val="clear" w:color="auto" w:fill="EEF2F1"/>
          </w:tcPr>
          <w:p>
            <w:r>
              <w:rPr>
                <w:sz w:val="19"/>
              </w:rPr>
              <w:t>Lancio e monitoraggio</w:t>
            </w:r>
          </w:p>
        </w:tc>
        <w:tc>
          <w:tcPr>
            <w:tcW w:type="dxa" w:w="2160"/>
            <w:shd w:val="clear" w:color="auto" w:fill="EEF2F1"/>
          </w:tcPr>
          <w:p>
            <w:r>
              <w:rPr>
                <w:sz w:val="19"/>
              </w:rPr>
              <w:t>Le query non-brand identificate in gap (a partire da quella a maggior volume) devono risultare presidiate prima dell'apertura della stagione leisure piena, non durante: qui si verifica il posizionamento raggiunto e si correggono i contenuti in base ai primi segnali di ranking. Si attiva anche la comunicazione dedicata al segmento coppia (pagina suite/wellness) in vista del picco di prenotazioni weekend, e si completa la pubblicazione dei contenuti family in tempo utile rispetto alla ricerca estiva.</w:t>
            </w:r>
          </w:p>
        </w:tc>
        <w:tc>
          <w:tcPr>
            <w:tcW w:type="dxa" w:w="2160"/>
            <w:shd w:val="clear" w:color="auto" w:fill="EEF2F1"/>
          </w:tcPr>
          <w:p>
            <w:r>
              <w:rPr>
                <w:sz w:val="19"/>
              </w:rPr>
              <w:t>Marketing + SEO</w:t>
            </w:r>
          </w:p>
        </w:tc>
      </w:tr>
    </w:tbl>
    <w:p>
      <w:pPr>
        <w:spacing w:after="160"/>
      </w:pPr>
    </w:p>
    <w:p>
      <w:r>
        <w:t>Il gate di fondo resta il calendario fieristico del Palazzo dei Congressi e di Rimini Fiera: essendo una struttura aperta tutto l'anno a soli 400 metri dal Palazzo, ogni evento in calendario è un'opportunità di copertura dedicata (pagina + offerta + navetta), non un'eccezione da gestire a parte. Il form RFP e i case study B2B vanno quindi pronti prima dell'autunno, quando la concentrazione di fiere ed eventi congressuali è storicamente più alta, per non arrivare a rincorrere la domanda già formata.</w:t>
      </w:r>
    </w:p>
    <w:p>
      <w:pPr>
        <w:spacing w:before="160" w:after="40"/>
      </w:pPr>
      <w:r>
        <w:rPr>
          <w:b/>
          <w:color w:val="2F5D62"/>
          <w:sz w:val="24"/>
        </w:rPr>
        <w:t>KPI</w:t>
      </w:r>
    </w:p>
    <w:p>
      <w:pPr>
        <w:pStyle w:val="ListBullet"/>
      </w:pPr>
      <w:r>
        <w:t>Copertura dati strutturati: v. sez. 06</w:t>
      </w:r>
    </w:p>
    <w:p>
      <w:pPr>
        <w:pStyle w:val="ListBullet"/>
      </w:pPr>
      <w:r>
        <w:t>Posizionamento query non-brand prioritaria: v. sez. 06</w:t>
      </w:r>
    </w:p>
    <w:p>
      <w:pPr>
        <w:pStyle w:val="ListBullet"/>
      </w:pPr>
      <w:r>
        <w:t>Form RFP attivo e tracciato: v. sez. 06</w:t>
      </w:r>
    </w:p>
    <w:p>
      <w:pPr>
        <w:pStyle w:val="ListBullet"/>
      </w:pPr>
      <w:r>
        <w:t>Completamento audit AI (Gemini, Perplexity): v. sez. 06</w:t>
      </w:r>
    </w:p>
    <w:p>
      <w:pPr>
        <w:spacing w:before="160" w:after="40"/>
      </w:pPr>
      <w:r>
        <w:rPr>
          <w:b/>
          <w:color w:val="2F5D62"/>
          <w:sz w:val="24"/>
        </w:rPr>
        <w:t>Note esecutive</w:t>
      </w:r>
    </w:p>
    <w:p>
      <w:pPr>
        <w:pStyle w:val="ListBullet"/>
      </w:pPr>
      <w:r>
        <w:t>La sequenza qui descritta non prevede fermo cantiere in nessun trimestre, coerentemente con il profilo year-round della struttura: gli interventi tecnici sono concentrati nei mesi di minore pressione commerciale, non in un periodo di chiusura che per questa struttura non esiste.</w:t>
      </w:r>
    </w:p>
    <w:p>
      <w:pPr>
        <w:pStyle w:val="ListBullet"/>
      </w:pPr>
      <w:r>
        <w:t>Le date di apertura vendite sui mercati esteri sono ancorate ai lead time noti per quei mercati (prenotazione con largo anticipo), da confermare con i dati reali di prenotazione della struttura non appena disponibili (v. sez. 08).</w:t>
      </w:r>
    </w:p>
    <w:p>
      <w:pPr>
        <w:pStyle w:val="ListBullet"/>
      </w:pPr>
      <w:r>
        <w:t>Le metriche tariffarie e di rendimento restano di competenza della struttura: questa roadmap non tocca prezzi e listini se non come vetrina da tenere pronta in anticipo sui tempi di apertura vendite.</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4619</w:t>
            </w:r>
          </w:p>
        </w:tc>
        <w:tc>
          <w:tcPr>
            <w:tcW w:type="dxa" w:w="2160"/>
          </w:tcPr>
          <w:p>
            <w:r>
              <w:rPr>
                <w:sz w:val="19"/>
              </w:rPr>
              <w:t>4821</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4.23</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Questa sezione fissa l'unico cruscotto numerico del piano: quello che governa l'esecuzione mese per mese e su cui si valuta, a scadenze fisse, se le azioni delle sezioni precedenti stanno funzionando. Dove esiste una baseline reale, il KPI ha un target; dove la baseline manca, il KPI resta un obiettivo di processo — misurare e impostare il tracciamento, non inseguire un numero senza punto di partenza. I benchmark di settore su acquisizione diretta e commissioni restano riferimenti da validare con i dati reali della struttura, non traguardi imposti dall'esterno; le metriche tariffarie e di rendimento non compaiono in questo cruscotto perché restano di competenza della struttura.</w:t>
      </w:r>
    </w:p>
    <w:p>
      <w:pPr>
        <w:spacing w:before="160" w:after="40"/>
      </w:pPr>
      <w:r>
        <w:rPr>
          <w:b/>
          <w:color w:val="2F5D62"/>
          <w:sz w:val="24"/>
        </w:rPr>
        <w:t>Obiettivi misurabili</w:t>
      </w:r>
    </w:p>
    <w:p>
      <w:pPr>
        <w:pStyle w:val="ListBullet"/>
      </w:pPr>
      <w:r>
        <w:t>Impostare entro il primo trimestre il tracciamento della quota di prenotazioni dirette per canale (obiettivo di processo: baseline oggi non disponibile)</w:t>
      </w:r>
    </w:p>
    <w:p>
      <w:pPr>
        <w:pStyle w:val="ListBullet"/>
      </w:pPr>
      <w:r>
        <w:t>Portare in top 3 la query a maggior volume del comparto entro un orizzonte di due-tre cicli di aggiornamento (v. sez. 03 per il dettaglio del gap)</w:t>
      </w:r>
    </w:p>
    <w:p>
      <w:pPr>
        <w:pStyle w:val="ListBullet"/>
      </w:pPr>
      <w:r>
        <w:t>Attivare la misurazione strutturata del funnel MICE (richieste preventivo ricevute → confermate) dal momento dell'implementazione del form RFP</w:t>
      </w:r>
    </w:p>
    <w:p>
      <w:pPr>
        <w:pStyle w:val="ListBullet"/>
      </w:pPr>
      <w:r>
        <w:t>Ripetere l'audit di visibilità sugli assistenti conversazionali con credenziali complete su tutti gli assistenti testati, per avere una baseline reale sui tre segmenti oggi non misurabili</w:t>
      </w:r>
    </w:p>
    <w:p>
      <w:pPr>
        <w:spacing w:before="160" w:after="40"/>
      </w:pPr>
      <w:r>
        <w:rPr>
          <w:b/>
          <w:color w:val="2F5D62"/>
          <w:sz w:val="24"/>
        </w:rPr>
        <w:t>Azioni</w:t>
      </w:r>
    </w:p>
    <w:p>
      <w:r>
        <w:t>Il piano propone azioni su distribuzione, contenuti e presidio organico senza però disporre oggi di una baseline su quota diretta, costo di acquisizione per canale o conversione del motore di prenotazione: senza questi numeri, ogni valutazione di ritorno resterebbe un'stima e non una misura. La priorità operativa di governance, prima ancora che l'esecuzione dei canali, è quindi attivare gli accessi e gli strumenti di tracciamento (analytics del sito, console di ricerca, profilo Google dell'attività, motore di prenotazione) così da avere, al primo ciclo di reporting, una baseline su cui ancorare i target oggi assenti.</w:t>
      </w:r>
    </w:p>
    <w:p>
      <w:r>
        <w:t>Il posizionamento organico oggi si regge su una sola query presidiata a fronte di un volume di domanda ampio non ancora intercettato: questo rende la scalata di posizione l'indicatore più concreto e verificabile del lavoro SEO, perché ha già una posizione di partenza nota. Da qui l'azione di monitoraggio mensile della posizione su questa query e delle query in gap a maggior volume, con revisione trimestrale della lista di priorità in base ai movimenti osservati.</w:t>
      </w:r>
    </w:p>
    <w:p>
      <w:r>
        <w:t>L'assenza di dati sulla visibilità della struttura sugli assistenti conversazionali per due terzi degli assistenti testati è un limite dichiarato dell'analisi, non un'assenza reale: comportarsi come se la struttura fosse invisibile su quei canali sarebbe un errore di lettura. L'azione di governance è quindi ripetere l'audit con credenziali valide prima di destinare budget a contenuti pensati specificamente per la citabilità AI, per non intervenire su una diagnosi incompleta.</w:t>
      </w:r>
    </w:p>
    <w:p>
      <w:r>
        <w:t>Il canale business/MICE non ha oggi alcun indicatore di conversione tracciato (nessun form strutturato, contatto solo su email e telefono generici): introdurre il form di richiesta preventivo previsto in sezione 03 crea per la prima volta un punto di misurazione — richieste ricevute, tempo di risposta, tasso di conversione in preventivo confermato — che oggi semplicemente non esiste e va costruito da zero.</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 obiettivo</w:t>
            </w:r>
          </w:p>
        </w:tc>
        <w:tc>
          <w:tcPr>
            <w:tcW w:type="dxa" w:w="2160"/>
            <w:shd w:val="clear" w:color="auto" w:fill="2F5D62"/>
          </w:tcPr>
          <w:p>
            <w:r>
              <w:rPr>
                <w:b/>
                <w:color w:val="FFFFFF"/>
                <w:sz w:val="19"/>
              </w:rPr>
              <w:t>Cadenza di rilevazione</w:t>
            </w:r>
          </w:p>
        </w:tc>
      </w:tr>
      <w:tr>
        <w:tc>
          <w:tcPr>
            <w:tcW w:type="dxa" w:w="2160"/>
          </w:tcPr>
          <w:p>
            <w:r>
              <w:rPr>
                <w:sz w:val="19"/>
              </w:rPr>
              <w:t>Quota prenotazioni dirette per canale</w:t>
            </w:r>
          </w:p>
        </w:tc>
        <w:tc>
          <w:tcPr>
            <w:tcW w:type="dxa" w:w="2160"/>
          </w:tcPr>
          <w:p>
            <w:r>
              <w:rPr>
                <w:sz w:val="19"/>
              </w:rPr>
              <w:t>non disponibile</w:t>
            </w:r>
          </w:p>
        </w:tc>
        <w:tc>
          <w:tcPr>
            <w:tcW w:type="dxa" w:w="2160"/>
          </w:tcPr>
          <w:p>
            <w:r>
              <w:rPr>
                <w:sz w:val="19"/>
              </w:rPr>
              <w:t>obiettivo di processo: attivare il tracciamento</w:t>
            </w:r>
          </w:p>
        </w:tc>
        <w:tc>
          <w:tcPr>
            <w:tcW w:type="dxa" w:w="2160"/>
          </w:tcPr>
          <w:p>
            <w:r>
              <w:rPr>
                <w:sz w:val="19"/>
              </w:rPr>
              <w:t>mensile, da attivazione</w:t>
            </w:r>
          </w:p>
        </w:tc>
      </w:tr>
      <w:tr>
        <w:tc>
          <w:tcPr>
            <w:tcW w:type="dxa" w:w="2160"/>
            <w:shd w:val="clear" w:color="auto" w:fill="EEF2F1"/>
          </w:tcPr>
          <w:p>
            <w:r>
              <w:rPr>
                <w:sz w:val="19"/>
              </w:rPr>
              <w:t>Posizione query a maggior volume del comparto</w:t>
            </w:r>
          </w:p>
        </w:tc>
        <w:tc>
          <w:tcPr>
            <w:tcW w:type="dxa" w:w="2160"/>
            <w:shd w:val="clear" w:color="auto" w:fill="EEF2F1"/>
          </w:tcPr>
          <w:p>
            <w:r>
              <w:rPr>
                <w:sz w:val="19"/>
              </w:rPr>
              <w:t>posizione 8</w:t>
            </w:r>
          </w:p>
        </w:tc>
        <w:tc>
          <w:tcPr>
            <w:tcW w:type="dxa" w:w="2160"/>
            <w:shd w:val="clear" w:color="auto" w:fill="EEF2F1"/>
          </w:tcPr>
          <w:p>
            <w:r>
              <w:rPr>
                <w:sz w:val="19"/>
              </w:rPr>
              <w:t>rientro in top 3 su orizzonte di più cicli (v. sez. 03)</w:t>
            </w:r>
          </w:p>
        </w:tc>
        <w:tc>
          <w:tcPr>
            <w:tcW w:type="dxa" w:w="2160"/>
            <w:shd w:val="clear" w:color="auto" w:fill="EEF2F1"/>
          </w:tcPr>
          <w:p>
            <w:r>
              <w:rPr>
                <w:sz w:val="19"/>
              </w:rPr>
              <w:t>mensile</w:t>
            </w:r>
          </w:p>
        </w:tc>
      </w:tr>
      <w:tr>
        <w:tc>
          <w:tcPr>
            <w:tcW w:type="dxa" w:w="2160"/>
          </w:tcPr>
          <w:p>
            <w:r>
              <w:rPr>
                <w:sz w:val="19"/>
              </w:rPr>
              <w:t>Query in gap intercettate in top 10</w:t>
            </w:r>
          </w:p>
        </w:tc>
        <w:tc>
          <w:tcPr>
            <w:tcW w:type="dxa" w:w="2160"/>
          </w:tcPr>
          <w:p>
            <w:r>
              <w:rPr>
                <w:sz w:val="19"/>
              </w:rPr>
              <w:t>1 su 27 presidiata</w:t>
            </w:r>
          </w:p>
        </w:tc>
        <w:tc>
          <w:tcPr>
            <w:tcW w:type="dxa" w:w="2160"/>
          </w:tcPr>
          <w:p>
            <w:r>
              <w:rPr>
                <w:sz w:val="19"/>
              </w:rPr>
              <w:t>incremento progressivo, revisione priorità trimestrale</w:t>
            </w:r>
          </w:p>
        </w:tc>
        <w:tc>
          <w:tcPr>
            <w:tcW w:type="dxa" w:w="2160"/>
          </w:tcPr>
          <w:p>
            <w:r>
              <w:rPr>
                <w:sz w:val="19"/>
              </w:rPr>
              <w:t>trimestrale</w:t>
            </w:r>
          </w:p>
        </w:tc>
      </w:tr>
      <w:tr>
        <w:tc>
          <w:tcPr>
            <w:tcW w:type="dxa" w:w="2160"/>
            <w:shd w:val="clear" w:color="auto" w:fill="EEF2F1"/>
          </w:tcPr>
          <w:p>
            <w:r>
              <w:rPr>
                <w:sz w:val="19"/>
              </w:rPr>
              <w:t>Richieste RFP business/MICE ricevute e convertite</w:t>
            </w:r>
          </w:p>
        </w:tc>
        <w:tc>
          <w:tcPr>
            <w:tcW w:type="dxa" w:w="2160"/>
            <w:shd w:val="clear" w:color="auto" w:fill="EEF2F1"/>
          </w:tcPr>
          <w:p>
            <w:r>
              <w:rPr>
                <w:sz w:val="19"/>
              </w:rPr>
              <w:t>non disponibile (canale da creare)</w:t>
            </w:r>
          </w:p>
        </w:tc>
        <w:tc>
          <w:tcPr>
            <w:tcW w:type="dxa" w:w="2160"/>
            <w:shd w:val="clear" w:color="auto" w:fill="EEF2F1"/>
          </w:tcPr>
          <w:p>
            <w:r>
              <w:rPr>
                <w:sz w:val="19"/>
              </w:rPr>
              <w:t>obiettivo di processo: impostare la misurazione da lancio form</w:t>
            </w:r>
          </w:p>
        </w:tc>
        <w:tc>
          <w:tcPr>
            <w:tcW w:type="dxa" w:w="2160"/>
            <w:shd w:val="clear" w:color="auto" w:fill="EEF2F1"/>
          </w:tcPr>
          <w:p>
            <w:r>
              <w:rPr>
                <w:sz w:val="19"/>
              </w:rPr>
              <w:t>mensile, da attivazione</w:t>
            </w:r>
          </w:p>
        </w:tc>
      </w:tr>
      <w:tr>
        <w:tc>
          <w:tcPr>
            <w:tcW w:type="dxa" w:w="2160"/>
          </w:tcPr>
          <w:p>
            <w:r>
              <w:rPr>
                <w:sz w:val="19"/>
              </w:rPr>
              <w:t>Copertura audit visibilità su assistenti conversazionali</w:t>
            </w:r>
          </w:p>
        </w:tc>
        <w:tc>
          <w:tcPr>
            <w:tcW w:type="dxa" w:w="2160"/>
          </w:tcPr>
          <w:p>
            <w:r>
              <w:rPr>
                <w:sz w:val="19"/>
              </w:rPr>
              <w:t>1 assistente su 3 misurato</w:t>
            </w:r>
          </w:p>
        </w:tc>
        <w:tc>
          <w:tcPr>
            <w:tcW w:type="dxa" w:w="2160"/>
          </w:tcPr>
          <w:p>
            <w:r>
              <w:rPr>
                <w:sz w:val="19"/>
              </w:rPr>
              <w:t>misurazione completa sui 3 assistenti con credenziali valide</w:t>
            </w:r>
          </w:p>
        </w:tc>
        <w:tc>
          <w:tcPr>
            <w:tcW w:type="dxa" w:w="2160"/>
          </w:tcPr>
          <w:p>
            <w:r>
              <w:rPr>
                <w:sz w:val="19"/>
              </w:rPr>
              <w:t>una tantum, poi semestrale</w:t>
            </w:r>
          </w:p>
        </w:tc>
      </w:tr>
      <w:tr>
        <w:tc>
          <w:tcPr>
            <w:tcW w:type="dxa" w:w="2160"/>
            <w:shd w:val="clear" w:color="auto" w:fill="EEF2F1"/>
          </w:tcPr>
          <w:p>
            <w:r>
              <w:rPr>
                <w:sz w:val="19"/>
              </w:rPr>
              <w:t>Punteggi medi di reputazione per piattaforma</w:t>
            </w:r>
          </w:p>
        </w:tc>
        <w:tc>
          <w:tcPr>
            <w:tcW w:type="dxa" w:w="2160"/>
            <w:shd w:val="clear" w:color="auto" w:fill="EEF2F1"/>
          </w:tcPr>
          <w:p>
            <w:r>
              <w:rPr>
                <w:sz w:val="19"/>
              </w:rPr>
              <w:t>4,23/5 aggregato (v. scheda numeri)</w:t>
            </w:r>
          </w:p>
        </w:tc>
        <w:tc>
          <w:tcPr>
            <w:tcW w:type="dxa" w:w="2160"/>
            <w:shd w:val="clear" w:color="auto" w:fill="EEF2F1"/>
          </w:tcPr>
          <w:p>
            <w:r>
              <w:rPr>
                <w:sz w:val="19"/>
              </w:rPr>
              <w:t>monitoraggio di tendenza, nessun salto atteso nel breve periodo</w:t>
            </w:r>
          </w:p>
        </w:tc>
        <w:tc>
          <w:tcPr>
            <w:tcW w:type="dxa" w:w="2160"/>
            <w:shd w:val="clear" w:color="auto" w:fill="EEF2F1"/>
          </w:tcPr>
          <w:p>
            <w:r>
              <w:rPr>
                <w:sz w:val="19"/>
              </w:rPr>
              <w:t>trimestrale</w:t>
            </w:r>
          </w:p>
        </w:tc>
      </w:tr>
      <w:tr>
        <w:tc>
          <w:tcPr>
            <w:tcW w:type="dxa" w:w="2160"/>
          </w:tcPr>
          <w:p>
            <w:r>
              <w:rPr>
                <w:sz w:val="19"/>
              </w:rPr>
              <w:t>Costo di acquisizione e ritorno per canale (diretto vs intermediato)</w:t>
            </w:r>
          </w:p>
        </w:tc>
        <w:tc>
          <w:tcPr>
            <w:tcW w:type="dxa" w:w="2160"/>
          </w:tcPr>
          <w:p>
            <w:r>
              <w:rPr>
                <w:sz w:val="19"/>
              </w:rPr>
              <w:t>non disponibile</w:t>
            </w:r>
          </w:p>
        </w:tc>
        <w:tc>
          <w:tcPr>
            <w:tcW w:type="dxa" w:w="2160"/>
          </w:tcPr>
          <w:p>
            <w:r>
              <w:rPr>
                <w:sz w:val="19"/>
              </w:rPr>
              <w:t>obiettivo di processo: raccogliere i dati storici col cliente</w:t>
            </w:r>
          </w:p>
        </w:tc>
        <w:tc>
          <w:tcPr>
            <w:tcW w:type="dxa" w:w="2160"/>
          </w:tcPr>
          <w:p>
            <w:r>
              <w:rPr>
                <w:sz w:val="19"/>
              </w:rPr>
              <w:t>da impostare, poi mensile</w:t>
            </w:r>
          </w:p>
        </w:tc>
      </w:tr>
    </w:tbl>
    <w:p>
      <w:pPr>
        <w:spacing w:after="160"/>
      </w:pPr>
    </w:p>
    <w:p>
      <w:pPr>
        <w:spacing w:before="160" w:after="40"/>
      </w:pPr>
      <w:r>
        <w:rPr>
          <w:b/>
          <w:color w:val="2F5D62"/>
          <w:sz w:val="24"/>
        </w:rPr>
        <w:t>Note esecutive</w:t>
      </w:r>
    </w:p>
    <w:p>
      <w:pPr>
        <w:pStyle w:val="ListBullet"/>
      </w:pPr>
      <w:r>
        <w:t>I benchmark di costo di acquisizione e ritorno su investimento pubblicitario citati nella scheda numeri sono riferimenti di settore da validare caso per caso: non vanno trattati come target assegnati alla struttura finché non esiste una baseline propria.</w:t>
      </w:r>
    </w:p>
    <w:p>
      <w:pPr>
        <w:pStyle w:val="ListBullet"/>
      </w:pPr>
      <w:r>
        <w:t>I punteggi medi di piattaforma sono medie cumulate su centinaia di recensioni e si muovono lentamente: la cadenza trimestrale di lettura serve a cogliere una tendenza, non una variazione mese su mese.</w:t>
      </w:r>
    </w:p>
    <w:p>
      <w:pPr>
        <w:pStyle w:val="ListBullet"/>
      </w:pPr>
      <w:r>
        <w:t>La responsabilità di governance di questa sezione è duplice: da un lato attivare gli strumenti di misura oggi mancanti, dall'altro evitare di costruire target numerici dove la baseline non esiste, per mantenere il cruscotto credibile e verificabile nel tempo.</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r>
        <w:tc>
          <w:tcPr>
            <w:tcW w:type="dxa" w:w="2880"/>
          </w:tcPr>
          <w:p>
            <w:r>
              <w:rPr>
                <w:sz w:val="19"/>
              </w:rPr>
              <w:t>Email &amp; CRM</w:t>
            </w:r>
          </w:p>
        </w:tc>
        <w:tc>
          <w:tcPr>
            <w:tcW w:type="dxa" w:w="2880"/>
          </w:tcPr>
          <w:p>
            <w:r>
              <w:rPr>
                <w:sz w:val="19"/>
              </w:rPr>
              <w:t>10-15%</w:t>
            </w:r>
          </w:p>
        </w:tc>
        <w:tc>
          <w:tcPr>
            <w:tcW w:type="dxa" w:w="2880"/>
          </w:tcPr>
          <w:p>
            <w:r>
              <w:rPr>
                <w:sz w:val="19"/>
              </w:rPr>
              <w:t>Attivare</w:t>
            </w:r>
          </w:p>
        </w:tc>
      </w:tr>
      <w:tr>
        <w:tc>
          <w:tcPr>
            <w:tcW w:type="dxa" w:w="2880"/>
            <w:shd w:val="clear" w:color="auto" w:fill="EEF2F1"/>
          </w:tcPr>
          <w:p>
            <w:r>
              <w:rPr>
                <w:sz w:val="19"/>
              </w:rPr>
              <w:t>Mercato DACH (area di lingua tedesca)</w:t>
            </w:r>
          </w:p>
        </w:tc>
        <w:tc>
          <w:tcPr>
            <w:tcW w:type="dxa" w:w="2880"/>
            <w:shd w:val="clear" w:color="auto" w:fill="EEF2F1"/>
          </w:tcPr>
          <w:p>
            <w:r>
              <w:rPr>
                <w:sz w:val="19"/>
              </w:rPr>
              <w:t>10-15%</w:t>
            </w:r>
          </w:p>
        </w:tc>
        <w:tc>
          <w:tcPr>
            <w:tcW w:type="dxa" w:w="2880"/>
            <w:shd w:val="clear" w:color="auto" w:fill="EEF2F1"/>
          </w:tcPr>
          <w:p>
            <w:r>
              <w:rPr>
                <w:sz w:val="19"/>
              </w:rPr>
              <w:t>Attivare</w:t>
            </w:r>
          </w:p>
        </w:tc>
      </w:tr>
      <w:tr>
        <w:tc>
          <w:tcPr>
            <w:tcW w:type="dxa" w:w="2880"/>
          </w:tcPr>
          <w:p>
            <w:r>
              <w:rPr>
                <w:sz w:val="19"/>
              </w:rPr>
              <w:t>Segmento business / MICE</w:t>
            </w:r>
          </w:p>
        </w:tc>
        <w:tc>
          <w:tcPr>
            <w:tcW w:type="dxa" w:w="2880"/>
          </w:tcPr>
          <w:p>
            <w:r>
              <w:rPr>
                <w:sz w:val="19"/>
              </w:rPr>
              <w:t>5-10%</w:t>
            </w:r>
          </w:p>
        </w:tc>
        <w:tc>
          <w:tcPr>
            <w:tcW w:type="dxa" w:w="2880"/>
          </w:tcPr>
          <w:p>
            <w:r>
              <w:rPr>
                <w:sz w:val="19"/>
              </w:rPr>
              <w:t>Attivare</w:t>
            </w:r>
          </w:p>
        </w:tc>
      </w:tr>
      <w:tr>
        <w:tc>
          <w:tcPr>
            <w:tcW w:type="dxa" w:w="2880"/>
            <w:shd w:val="clear" w:color="auto" w:fill="EEF2F1"/>
          </w:tcPr>
          <w:p>
            <w:r>
              <w:rPr>
                <w:sz w:val="19"/>
              </w:rPr>
              <w:t>Local &amp; Google Business Profile</w:t>
            </w:r>
          </w:p>
        </w:tc>
        <w:tc>
          <w:tcPr>
            <w:tcW w:type="dxa" w:w="2880"/>
            <w:shd w:val="clear" w:color="auto" w:fill="EEF2F1"/>
          </w:tcPr>
          <w:p>
            <w:r>
              <w:rPr>
                <w:sz w:val="19"/>
              </w:rPr>
              <w:t>15-25%</w:t>
            </w:r>
          </w:p>
        </w:tc>
        <w:tc>
          <w:tcPr>
            <w:tcW w:type="dxa" w:w="2880"/>
            <w:shd w:val="clear" w:color="auto" w:fill="EEF2F1"/>
          </w:tcPr>
          <w:p>
            <w:r>
              <w:rPr>
                <w:sz w:val="19"/>
              </w:rPr>
              <w:t>Attivare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non è un esercizio contabile: è la traduzione in risorse della matrice di canale già fissata in sez. 03. Il criterio guida è sequenziale, non paritario: prima si finanzia ciò che sblocca la visibilità strutturale (SEO/content/local e i dati strutturati del sito), poi si accende il traffico a pagamento su ciò che quella visibilità può già convertire (search &amp; metasearch), poi si consolida la relazione con chi ha già soggiornato (email/CRM). Il display resta una quota sperimentale da attivare solo dopo che i primi tre livelli mostrano segnali misurabili, non un canale da presidiare fin da subito a parità di peso.</w:t>
      </w:r>
    </w:p>
    <w:p>
      <w:pPr>
        <w:spacing w:before="160" w:after="40"/>
      </w:pPr>
      <w:r>
        <w:rPr>
          <w:b/>
          <w:color w:val="2F5D62"/>
          <w:sz w:val="24"/>
        </w:rPr>
        <w:t>Obiettivi misurabili</w:t>
      </w:r>
    </w:p>
    <w:p>
      <w:pPr>
        <w:pStyle w:val="ListBullet"/>
      </w:pPr>
      <w:r>
        <w:t>Portare la quota SEO/content/local a piena capacità nel trimestre di minor pressione commerciale, in coerenza con l'implementazione dei dati strutturati già pianificata in roadmap (v. sez. 05)</w:t>
      </w:r>
    </w:p>
    <w:p>
      <w:pPr>
        <w:pStyle w:val="ListBullet"/>
      </w:pPr>
      <w:r>
        <w:t>Attivare la quota search &amp; metasearch in corrispondenza dell'apertura delle finestre di prenotazione per segmento, non a calendario fisso (v. sez. 04-05)</w:t>
      </w:r>
    </w:p>
    <w:p>
      <w:pPr>
        <w:pStyle w:val="ListBullet"/>
      </w:pPr>
      <w:r>
        <w:t>Impostare un ciclo trimestrale di rilettura della ripartizione su base performance (obiettivo di processo: la baseline di CAC/ROAS per canale non è oggi disponibile, v. sez. 08)</w:t>
      </w:r>
    </w:p>
    <w:p>
      <w:pPr>
        <w:spacing w:before="160" w:after="40"/>
      </w:pPr>
      <w:r>
        <w:rPr>
          <w:b/>
          <w:color w:val="2F5D62"/>
          <w:sz w:val="24"/>
        </w:rPr>
        <w:t>Azioni</w:t>
      </w:r>
    </w:p>
    <w:p>
      <w:r>
        <w:t>Il gap di visibilità organica è già stato quantificato in sez. 03 e resta la priorità di spesa: senza intervenire prima su SEO/content/local e sui dati strutturati mancanti, ogni euro speso su search a pagamento lavora su una base debole, perché il non-brand ad alto volume resta fuori dalla prima pagina e il traffico a pagamento non compensa da solo un posizionamento organico assente. L'azione è vincolare la quota più alta della fascia SEO/content/local (15-25%) ai mesi di apertura del cantiere digitale indicati in roadmap, prima di aprire le campagne a pagamento sulla stessa domanda.</w:t>
      </w:r>
    </w:p>
    <w:p>
      <w:r>
        <w:t>Il mix di clientela reale vede coppie e famiglie come i due pubblici più consistenti (v. sez. 02): questo giustifica il peso assegnato a social &amp; video, ma solo a condizione che i contenuti pubblicati parlino il linguaggio di prodotto della struttura (formule, piano famiglia, spiaggia inclusa) e non messaggi generici. L'azione è destinare la quota social alla produzione di contenuti segmentati per pubblico (famiglia, coppia) prima di spingere in amplificazione a pagamento, per evitare di finanziare la distribuzione di un messaggio ancora indifferenziato.</w:t>
      </w:r>
    </w:p>
    <w:p>
      <w:r>
        <w:t>Il canale MICE/business, già individuato come leva da strutturare in sez. 03-04, non richiede una voce di budget dedicata separata: si finanzia attraverso la quota SEO/content/local (per il form RFP e i contenuti di sala) e attraverso email/CRM per il B2B già acquisito. L'azione è instradare qui la produzione di contenuti e strumenti per il segmento business, senza aprire una riga di budget aggiuntiva non prevista dalla tabella.</w:t>
      </w:r>
    </w:p>
    <w:p>
      <w:r>
        <w:t>La quota email/CRM, pur minoritaria in percentuale, ha una priorità temporale alta: la ripartizione stagionale della roadmap (v. sez. 05) impone di attivare la comunicazione verso gli ospiti già acquisiti prima dell'apertura delle finestre di prenotazione dei segmenti leisure. L'azione è anticipare l'impegno su questa voce rispetto a search &amp; metasearch, anche a parità di percentuale nominale, per intercettare la domanda di chi prenota con largo anticipo.</w:t>
      </w:r>
    </w:p>
    <w:p>
      <w:r>
        <w:t>La quota display/retargeting resta la più esposta a riallocazione: senza una baseline di CAC/ROAS per canale (input mancante, v. sez. 08) non è possibile motivarne un incremento. L'azione è mantenerla nella fascia bassa del range fino a quando il ciclo trimestrale di rilettura non produce evidenze sufficienti a giustificare uno spostamento, spostamento che resta comunque interno alle voci già presenti in tabella.</w:t>
      </w:r>
    </w:p>
    <w:p>
      <w:pPr>
        <w:spacing w:before="160" w:after="40"/>
      </w:pPr>
      <w:r>
        <w:rPr>
          <w:b/>
          <w:color w:val="2F5D62"/>
          <w:sz w:val="24"/>
        </w:rPr>
        <w:t>KPI</w:t>
      </w:r>
    </w:p>
    <w:p>
      <w:pPr>
        <w:pStyle w:val="ListBullet"/>
      </w:pPr>
      <w:r>
        <w:t>V. sez. 06 per il set di KPI di controllo e i relativi orizzonti di misurazione</w:t>
      </w:r>
    </w:p>
    <w:p>
      <w:pPr>
        <w:spacing w:before="160" w:after="40"/>
      </w:pPr>
      <w:r>
        <w:rPr>
          <w:b/>
          <w:color w:val="2F5D62"/>
          <w:sz w:val="24"/>
        </w:rPr>
        <w:t>Note esecutive</w:t>
      </w:r>
    </w:p>
    <w:p>
      <w:pPr>
        <w:pStyle w:val="ListBullet"/>
      </w:pPr>
      <w:r>
        <w:t>La ripartizione è percentuale e riferita al solo budget digitale attivabile; l'importo assoluto e la componente tradizionale restano fuori da questo piano (v. sez. 08 per gli input mancanti)</w:t>
      </w:r>
    </w:p>
    <w:p>
      <w:pPr>
        <w:pStyle w:val="ListBullet"/>
      </w:pPr>
      <w:r>
        <w:t>Ogni riallocazione trimestrale si muove esclusivamente tra le cinque voci già presenti in tabella: non introduce nuovi canali</w:t>
      </w:r>
    </w:p>
    <w:p>
      <w:pPr>
        <w:pStyle w:val="ListBullet"/>
      </w:pPr>
      <w:r>
        <w:t>Le metriche tariffarie e di rendimento restano di competenza della struttura: questo piano non tocca prezzi e listini se non come vetrina</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interamente su dati reali dell'analisi diagnostica: reputazione multi-piattaforma, mix di clientela, domanda di ricerca e connettività aerea. Dove il piano si appoggia a un riferimento di settore o segnala un dato ancora da acquisire, questo box lo rende esplicito e tracciabile, così da separare con nettezza ciò che è già evidenza cliente da ciò che resta ipotesi o input da raccogliere prima di tarare obiettivi numerici più stringenti. Nessuna cifra economica assoluta compare nel piano al di fuori di questa sezione: il budget è trattato altrove come ripartizione percentuale, e la proposta commerciale con gli importi resta un allegato separato a cura dell'agenzia.</w:t>
      </w:r>
    </w:p>
    <w:p>
      <w:pPr>
        <w:spacing w:before="160" w:after="40"/>
      </w:pPr>
      <w:r>
        <w:rPr>
          <w:b/>
          <w:color w:val="2F5D62"/>
          <w:sz w:val="24"/>
        </w:rPr>
        <w:t>Obiettivi misurabili</w:t>
      </w:r>
    </w:p>
    <w:p>
      <w:pPr>
        <w:pStyle w:val="ListBullet"/>
      </w:pPr>
      <w:r>
        <w:t>Raccogliere entro il primo trimestre operativo tutti gli input elencati in questa sezione, come precondizione per fissare target numerici su direct ratio, CAC e budget assoluto.</w:t>
      </w:r>
    </w:p>
    <w:p>
      <w:pPr>
        <w:pStyle w:val="ListBullet"/>
      </w:pPr>
      <w:r>
        <w:t>Ripetere l'audit sugli assistenti AI (Gemini e Perplexity) con credenziali valide, per completare il quadro oggi parziale (1 segmento su 4 misurato su OpenAI).</w:t>
      </w:r>
    </w:p>
    <w:p>
      <w:pPr>
        <w:spacing w:before="160" w:after="40"/>
      </w:pPr>
      <w:r>
        <w:rPr>
          <w:b/>
          <w:color w:val="2F5D62"/>
          <w:sz w:val="24"/>
        </w:rPr>
        <w:t>Azioni</w:t>
      </w:r>
    </w:p>
    <w:p>
      <w:r>
        <w:t>Il piano usa alcuni riferimenti di settore come sfondo per ragionare su ripartizione budget e canale diretto-vs-OTA, non come cifre del cliente: un CoA diretto nell'ordine del 4-5% del ricavo contro una commissione OTA nel 15-30%, un CAC diretto indicativamente 15-25€ contro 35-60€ per le OTA, un ROAS di riferimento intorno a 8:1 su brand/metasearch per indipendenti. Restano riferimenti da validare, non obiettivi certi né uguali per ogni struttura: senza il ricavo reale e lo storico prenotazioni del Mediterraneo, applicarli come target equivarrebbe a costruire il piano su una stima anziché su un dato. Prima di fissare qualunque soglia numerica su questi indicatori, va acquisito lo storico reale della struttura.</w:t>
      </w:r>
    </w:p>
    <w:p>
      <w:r>
        <w:t>La quota di prenotazioni dirette, il CAC storico per canale e il budget marketing effettivamente investito non sono oggi disponibili: senza questa baseline, ogni obiettivo sulla ripartizione diretto/OTA proposto nelle sezioni precedenti resta un obiettivo di processo (misurare, tracciare) e non un numero target. L'azione è impostare da subito, con il cliente, la raccolta di questi tre dati tramite il gestionale/PMS e gli storici di fatturazione OTA, così da poter fissare nel primo ciclo di revisione un target realistico e proprio della struttura.</w:t>
      </w:r>
    </w:p>
    <w:p>
      <w:r>
        <w:t>Le metriche tariffarie e di rendimento (in capo alla revenue management della struttura) non sono trattate in questo piano se non come input da raccogliere: occupazione, tariffa media e ricavo per camera disponibile restano di competenza della struttura e non vengono stimate né usate come base di calcolo qui. Vanno comunque richieste come dato di contesto, perché senza di esse anche la lettura dell'impatto commerciale delle azioni di marketing (spostamento di quota dal canale intermediato al diretto) resta parziale.</w:t>
      </w:r>
    </w:p>
    <w:p>
      <w:r>
        <w:t>Il calendario eventi locali (fiere di Rimini Fiera, eventi del Palazzo dei Congressi, manifestazioni sportive su Misano) non è stato fornito come dato strutturato: la roadmap ne assume la sovrapponibilità con i mesi di apertura indicati nel decision record, ma le date puntuali dei singoli eventi vanno acquisite dal cliente o dagli enti organizzatori per poter costruire le pagine di copertura fiera con contenuti e tempistiche precise, non generiche.</w:t>
      </w:r>
    </w:p>
    <w:p>
      <w:r>
        <w:t>Gli accessi diagnostici a Google Analytics 4, Search Console, Google Business Profile, motore di prenotazione e PMS non sono stati resi disponibili in questa fase: senza di essi non è possibile misurare conversioni, comportamento pre-prenotazione e qualità del funnel diretto, né validare i miglioramenti di visibilità organica proposti nella strategia di canale. La richiesta di accesso va formalizzata come primo passo tecnico, prima dell'avvio di qualunque campagna a pagamento.</w:t>
      </w:r>
    </w:p>
    <w:p>
      <w:r>
        <w:t>I dati di domanda di ricerca (keyword, volumi, posizioni) sono già presenti e utilizzati nel piano come ledger canonico dell'analisi diagnostica: non sono un input mancante. Un eventuale export più recente entrerà nel piano solo come delta datato rispetto a questa baseline, da confrontare esplicitamente con i valori già citati, non da sostituire silenziosamente. Restano invece da integrare i dati di traffico e conversione reale (Search Console, GA4), che il ledger keyword da solo non copre.</w:t>
      </w:r>
    </w:p>
    <w:p>
      <w:r>
        <w:t>L'audit sulla visibilità negli assistenti AI copre oggi solo un motore (OpenAI) su tre previsti, per un errore tecnico di credenziali sugli altri due (Gemini, Perplexity): l'assenza rilevata su tre segmenti su quattro va quindi letta come dato parziale, non come assenza confermata su tutto l'ecosistema AI. Ripetere l'audit con credenziali valide è precondizione per decidere investimenti mirati in contenuti AEO-specifici oltre ai fondamentali (dati strutturati) già pianificati.</w:t>
      </w:r>
    </w:p>
    <w:p>
      <w:r>
        <w:t>Non è disponibile alcun dato su rate parity diretto-vs-OTA sui principali metasearch (Google Hotel Ads, Trivago, Kayak): è un input critico e bloccante prima di attivare investimenti pubblicitari a supporto del canale diretto, perché un prezzo diretto disallineato in aumento vanificherebbe qualunque campagna. L'azione è eseguire questo audit di parity come primo passo tecnico del piano di canale, non come attività accessoria.</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Input mancante</w:t>
            </w:r>
          </w:p>
        </w:tc>
        <w:tc>
          <w:tcPr>
            <w:tcW w:type="dxa" w:w="2880"/>
            <w:shd w:val="clear" w:color="auto" w:fill="2F5D62"/>
          </w:tcPr>
          <w:p>
            <w:r>
              <w:rPr>
                <w:b/>
                <w:color w:val="FFFFFF"/>
                <w:sz w:val="19"/>
              </w:rPr>
              <w:t>Perché serve</w:t>
            </w:r>
          </w:p>
        </w:tc>
        <w:tc>
          <w:tcPr>
            <w:tcW w:type="dxa" w:w="2880"/>
            <w:shd w:val="clear" w:color="auto" w:fill="2F5D62"/>
          </w:tcPr>
          <w:p>
            <w:r>
              <w:rPr>
                <w:b/>
                <w:color w:val="FFFFFF"/>
                <w:sz w:val="19"/>
              </w:rPr>
              <w:t>Fonte da attivare</w:t>
            </w:r>
          </w:p>
        </w:tc>
      </w:tr>
      <w:tr>
        <w:tc>
          <w:tcPr>
            <w:tcW w:type="dxa" w:w="2880"/>
          </w:tcPr>
          <w:p>
            <w:r>
              <w:rPr>
                <w:sz w:val="19"/>
              </w:rPr>
              <w:t>Quota diretto/OTA storica e CAC per canale</w:t>
            </w:r>
          </w:p>
        </w:tc>
        <w:tc>
          <w:tcPr>
            <w:tcW w:type="dxa" w:w="2880"/>
          </w:tcPr>
          <w:p>
            <w:r>
              <w:rPr>
                <w:sz w:val="19"/>
              </w:rPr>
              <w:t>Fissare un target di ripartizione proprio della struttura, non un benchmark generico</w:t>
            </w:r>
          </w:p>
        </w:tc>
        <w:tc>
          <w:tcPr>
            <w:tcW w:type="dxa" w:w="2880"/>
          </w:tcPr>
          <w:p>
            <w:r>
              <w:rPr>
                <w:sz w:val="19"/>
              </w:rPr>
              <w:t>PMS / gestionale prenotazioni, storici fatturazione OTA</w:t>
            </w:r>
          </w:p>
        </w:tc>
      </w:tr>
      <w:tr>
        <w:tc>
          <w:tcPr>
            <w:tcW w:type="dxa" w:w="2880"/>
            <w:shd w:val="clear" w:color="auto" w:fill="EEF2F1"/>
          </w:tcPr>
          <w:p>
            <w:r>
              <w:rPr>
                <w:sz w:val="19"/>
              </w:rPr>
              <w:t>Budget marketing reale investito</w:t>
            </w:r>
          </w:p>
        </w:tc>
        <w:tc>
          <w:tcPr>
            <w:tcW w:type="dxa" w:w="2880"/>
            <w:shd w:val="clear" w:color="auto" w:fill="EEF2F1"/>
          </w:tcPr>
          <w:p>
            <w:r>
              <w:rPr>
                <w:sz w:val="19"/>
              </w:rPr>
              <w:t>Trasformare la ripartizione percentuale in piano di spesa operativo</w:t>
            </w:r>
          </w:p>
        </w:tc>
        <w:tc>
          <w:tcPr>
            <w:tcW w:type="dxa" w:w="2880"/>
            <w:shd w:val="clear" w:color="auto" w:fill="EEF2F1"/>
          </w:tcPr>
          <w:p>
            <w:r>
              <w:rPr>
                <w:sz w:val="19"/>
              </w:rPr>
              <w:t>Cliente (contabilità/marketing)</w:t>
            </w:r>
          </w:p>
        </w:tc>
      </w:tr>
      <w:tr>
        <w:tc>
          <w:tcPr>
            <w:tcW w:type="dxa" w:w="2880"/>
          </w:tcPr>
          <w:p>
            <w:r>
              <w:rPr>
                <w:sz w:val="19"/>
              </w:rPr>
              <w:t>Occupazione, tariffa media, ricavo per camera disponibile</w:t>
            </w:r>
          </w:p>
        </w:tc>
        <w:tc>
          <w:tcPr>
            <w:tcW w:type="dxa" w:w="2880"/>
          </w:tcPr>
          <w:p>
            <w:r>
              <w:rPr>
                <w:sz w:val="19"/>
              </w:rPr>
              <w:t>Contesto di revenue management, fuori perimetro del piano ma utile a leggere l'impatto commerciale</w:t>
            </w:r>
          </w:p>
        </w:tc>
        <w:tc>
          <w:tcPr>
            <w:tcW w:type="dxa" w:w="2880"/>
          </w:tcPr>
          <w:p>
            <w:r>
              <w:rPr>
                <w:sz w:val="19"/>
              </w:rPr>
              <w:t>Cliente (revenue management interno)</w:t>
            </w:r>
          </w:p>
        </w:tc>
      </w:tr>
      <w:tr>
        <w:tc>
          <w:tcPr>
            <w:tcW w:type="dxa" w:w="2880"/>
            <w:shd w:val="clear" w:color="auto" w:fill="EEF2F1"/>
          </w:tcPr>
          <w:p>
            <w:r>
              <w:rPr>
                <w:sz w:val="19"/>
              </w:rPr>
              <w:t>Calendario eventi locali (fiere, manifestazioni sportive)</w:t>
            </w:r>
          </w:p>
        </w:tc>
        <w:tc>
          <w:tcPr>
            <w:tcW w:type="dxa" w:w="2880"/>
            <w:shd w:val="clear" w:color="auto" w:fill="EEF2F1"/>
          </w:tcPr>
          <w:p>
            <w:r>
              <w:rPr>
                <w:sz w:val="19"/>
              </w:rPr>
              <w:t>Precisare le pagine e le tempistiche di copertura fiera/evento nella roadmap</w:t>
            </w:r>
          </w:p>
        </w:tc>
        <w:tc>
          <w:tcPr>
            <w:tcW w:type="dxa" w:w="2880"/>
            <w:shd w:val="clear" w:color="auto" w:fill="EEF2F1"/>
          </w:tcPr>
          <w:p>
            <w:r>
              <w:rPr>
                <w:sz w:val="19"/>
              </w:rPr>
              <w:t>Rimini Fiera, Palazzo dei Congressi, enti locali</w:t>
            </w:r>
          </w:p>
        </w:tc>
      </w:tr>
      <w:tr>
        <w:tc>
          <w:tcPr>
            <w:tcW w:type="dxa" w:w="2880"/>
          </w:tcPr>
          <w:p>
            <w:r>
              <w:rPr>
                <w:sz w:val="19"/>
              </w:rPr>
              <w:t>Accessi GA4, Search Console, Google Business Profile, booking engine</w:t>
            </w:r>
          </w:p>
        </w:tc>
        <w:tc>
          <w:tcPr>
            <w:tcW w:type="dxa" w:w="2880"/>
          </w:tcPr>
          <w:p>
            <w:r>
              <w:rPr>
                <w:sz w:val="19"/>
              </w:rPr>
              <w:t>Misurare conversioni e qualità del funnel diretto, validare i risultati SEO/AEO</w:t>
            </w:r>
          </w:p>
        </w:tc>
        <w:tc>
          <w:tcPr>
            <w:tcW w:type="dxa" w:w="2880"/>
          </w:tcPr>
          <w:p>
            <w:r>
              <w:rPr>
                <w:sz w:val="19"/>
              </w:rPr>
              <w:t>Cliente (concessione accessi)</w:t>
            </w:r>
          </w:p>
        </w:tc>
      </w:tr>
      <w:tr>
        <w:tc>
          <w:tcPr>
            <w:tcW w:type="dxa" w:w="2880"/>
            <w:shd w:val="clear" w:color="auto" w:fill="EEF2F1"/>
          </w:tcPr>
          <w:p>
            <w:r>
              <w:rPr>
                <w:sz w:val="19"/>
              </w:rPr>
              <w:t>Rate parity diretto-vs-OTA sui metasearch</w:t>
            </w:r>
          </w:p>
        </w:tc>
        <w:tc>
          <w:tcPr>
            <w:tcW w:type="dxa" w:w="2880"/>
            <w:shd w:val="clear" w:color="auto" w:fill="EEF2F1"/>
          </w:tcPr>
          <w:p>
            <w:r>
              <w:rPr>
                <w:sz w:val="19"/>
              </w:rPr>
              <w:t>Precondizione bloccante prima di investimenti su campagne dirette</w:t>
            </w:r>
          </w:p>
        </w:tc>
        <w:tc>
          <w:tcPr>
            <w:tcW w:type="dxa" w:w="2880"/>
            <w:shd w:val="clear" w:color="auto" w:fill="EEF2F1"/>
          </w:tcPr>
          <w:p>
            <w:r>
              <w:rPr>
                <w:sz w:val="19"/>
              </w:rPr>
              <w:t>Audit tecnico su Google Hotel Ads, Trivago, Kayak</w:t>
            </w:r>
          </w:p>
        </w:tc>
      </w:tr>
      <w:tr>
        <w:tc>
          <w:tcPr>
            <w:tcW w:type="dxa" w:w="2880"/>
          </w:tcPr>
          <w:p>
            <w:r>
              <w:rPr>
                <w:sz w:val="19"/>
              </w:rPr>
              <w:t>Audit AEO completo (Gemini, Perplexity)</w:t>
            </w:r>
          </w:p>
        </w:tc>
        <w:tc>
          <w:tcPr>
            <w:tcW w:type="dxa" w:w="2880"/>
          </w:tcPr>
          <w:p>
            <w:r>
              <w:rPr>
                <w:sz w:val="19"/>
              </w:rPr>
              <w:t>Completare il quadro di visibilità sugli assistenti AI, oggi parziale</w:t>
            </w:r>
          </w:p>
        </w:tc>
        <w:tc>
          <w:tcPr>
            <w:tcW w:type="dxa" w:w="2880"/>
          </w:tcPr>
          <w:p>
            <w:r>
              <w:rPr>
                <w:sz w:val="19"/>
              </w:rPr>
              <w:t>Ripetizione audit con credenziali API valide</w:t>
            </w:r>
          </w:p>
        </w:tc>
      </w:tr>
    </w:tbl>
    <w:p>
      <w:pPr>
        <w:spacing w:after="160"/>
      </w:pPr>
    </w:p>
    <w:p>
      <w:pPr>
        <w:spacing w:before="160" w:after="40"/>
      </w:pPr>
      <w:r>
        <w:rPr>
          <w:b/>
          <w:color w:val="2F5D62"/>
          <w:sz w:val="24"/>
        </w:rPr>
        <w:t>Note esecutive</w:t>
      </w:r>
    </w:p>
    <w:p>
      <w:pPr>
        <w:pStyle w:val="ListBullet"/>
      </w:pPr>
      <w:r>
        <w:t>Nessun importo in euro compare in questo piano al di fuori di questo box: il budget è trattato come ripartizione percentuale; la proposta economica con gli importi è un allegato separato a cura dell'agenzia.</w:t>
      </w:r>
    </w:p>
    <w:p>
      <w:pPr>
        <w:pStyle w:val="ListBullet"/>
      </w:pPr>
      <w:r>
        <w:t>I benchmark di settore citati (CoA, CAC, ROAS) sono riferimenti da validare con i dati reali del cliente, non target uguali per ogni struttura né cifre già proprie del Mediterraneo.</w:t>
      </w:r>
    </w:p>
    <w:p>
      <w:pPr>
        <w:pStyle w:val="ListBullet"/>
      </w:pPr>
      <w:r>
        <w:t>La priorità operativa immediata tra questi input è duplice: audit di parity sui metasearch (blocca gli investimenti diretti) e accesso a PMS/GA4/Search Console (blocca la misurazione di ogni azione proposta nel piano).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