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STRATEGICO DI MARKETING</w:t>
      </w:r>
    </w:p>
    <w:p>
      <w:pPr>
        <w:spacing w:before="480"/>
        <w:jc w:val="center"/>
      </w:pPr>
      <w:r>
        <w:rPr>
          <w:b/>
          <w:color w:val="1A1A2E"/>
          <w:sz w:val="60"/>
        </w:rPr>
        <w:t>HOTEL BAIA IMPERIALE</w:t>
      </w:r>
    </w:p>
    <w:p>
      <w:pPr>
        <w:jc w:val="center"/>
      </w:pPr>
      <w:r>
        <w:rPr>
          <w:color w:val="6B7280"/>
          <w:sz w:val="26"/>
        </w:rPr>
        <w:t>Rimini  ·  4 stelle</w:t>
      </w:r>
    </w:p>
    <w:p>
      <w:pPr>
        <w:spacing w:before="360"/>
        <w:pBdr>
          <w:bottom w:val="single" w:sz="12" w:space="6" w:color="2F5D62"/>
        </w:pBdr>
      </w:pPr>
    </w:p>
    <w:p>
      <w:pPr>
        <w:spacing w:before="160"/>
        <w:jc w:val="center"/>
      </w:pPr>
      <w:r>
        <w:rPr>
          <w:color w:val="6B7280"/>
          <w:sz w:val="18"/>
        </w:rPr>
        <w:t>Documento operativo · 20/07/2026 11:37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Documento strategico di vertice: trasforma l'analisi diagnostica competitiva e reputazionale in un piano operativo di marketing. Per ogni area: sintesi strategica, obiettivi misurabili, azioni (Evidenza → Implicazione → Azione) e KPI.</w:t>
      </w:r>
    </w:p>
    <w:p>
      <w:pPr>
        <w:pStyle w:val="ListNumber"/>
      </w:pPr>
      <w:r>
        <w:t>01 — Executive summary &amp; posizionamento</w:t>
      </w:r>
    </w:p>
    <w:p>
      <w:pPr>
        <w:pStyle w:val="ListNumber"/>
      </w:pPr>
      <w:r>
        <w:t>02 — Segmenti prioritari &amp; messaggi</w:t>
      </w:r>
    </w:p>
    <w:p>
      <w:pPr>
        <w:pStyle w:val="ListNumber"/>
      </w:pPr>
      <w:r>
        <w:t>03 — Strategia di canale (core)</w:t>
      </w:r>
    </w:p>
    <w:p>
      <w:pPr>
        <w:pStyle w:val="ListNumber"/>
      </w:pPr>
      <w:r>
        <w:t>04 — Distribuzione &amp; mercati</w:t>
      </w:r>
    </w:p>
    <w:p>
      <w:pPr>
        <w:pStyle w:val="ListNumber"/>
      </w:pPr>
      <w:r>
        <w:t>05 — Roadmap 12 mesi</w:t>
      </w:r>
    </w:p>
    <w:p>
      <w:pPr>
        <w:pStyle w:val="ListNumber"/>
      </w:pPr>
      <w:r>
        <w:t>06 — Misurazione &amp; governance</w:t>
      </w:r>
    </w:p>
    <w:p>
      <w:pPr>
        <w:pStyle w:val="ListNumber"/>
      </w:pPr>
      <w:r>
        <w:t>07 — Budget (ripartizione %)</w:t>
      </w:r>
    </w:p>
    <w:p>
      <w:pPr>
        <w:pStyle w:val="ListNumber"/>
      </w:pPr>
      <w:r>
        <w:t>08 — Assunzioni &amp; input mancanti</w:t>
      </w:r>
    </w:p>
    <w:p>
      <w:r>
        <w:br w:type="page"/>
      </w:r>
    </w:p>
    <w:p>
      <w:pPr>
        <w:spacing w:after="0"/>
      </w:pPr>
      <w:r>
        <w:rPr>
          <w:b/>
          <w:color w:val="2F5D62"/>
          <w:sz w:val="18"/>
        </w:rPr>
        <w:t>SEZIONE 01</w:t>
      </w:r>
    </w:p>
    <w:p>
      <w:pPr>
        <w:spacing w:after="200"/>
        <w:pBdr>
          <w:bottom w:val="single" w:sz="18" w:space="6" w:color="2F5D62"/>
        </w:pBdr>
      </w:pPr>
      <w:r>
        <w:rPr>
          <w:b/>
          <w:color w:val="1A1A2E"/>
          <w:sz w:val="40"/>
        </w:rPr>
        <w:t>Executive summary &amp; posizionamento</w:t>
      </w:r>
    </w:p>
    <w:p>
      <w:r>
        <w:t>Hotel Baia Imperiale gioca la partita del 4 stelle fronte mare a San Giuliano Mare come casa di fiducia per la coppia in cerca di relax/benessere e per la famiglia balneare classica, con lo staff come vero differenziale competitivo in un comp-set dove i concorrenti più forti (Aqua Hotel, Oxygen Lifestyle) vincono soprattutto su volume di prova sociale e su un prodotto camera più aggiornato. La mossa strategica non è inseguire questi due competitor sul terreno struttura/camere — richiederebbe investimenti su asset fisici fuori mandato marketing — ma consolidare il posizionamento dove la struttura è già oggettivamente superiore (ospitalità, colazione, pulizia) e colmare il divario più economicamente rilevante: la quasi totale assenza di visibilità organica sulle query generaliste e di categoria che oggi porta la domanda dai concorrenti prima ancora che il confronto reputazionale possa giocare a favore della struttura. In parallelo, il sito comunica un posizionamento a quattro pubblici (coppie, famiglie, business, gruppi) mentre la clientela reale misurata è polarizzata su coppia e famiglia, con business strutturalmente minoritario: la promessa di valore va messa a fuoco su questi due segmenti, trattando il business come presidio opportunistico legato al calendario fieristico e non come pilastro comunicativo pari agli altri due.</w:t>
      </w:r>
    </w:p>
    <w:p>
      <w:pPr>
        <w:spacing w:before="160" w:after="40"/>
      </w:pPr>
      <w:r>
        <w:rPr>
          <w:b/>
          <w:color w:val="2F5D62"/>
          <w:sz w:val="24"/>
        </w:rPr>
        <w:t>Obiettivi misurabili</w:t>
      </w:r>
    </w:p>
    <w:p>
      <w:pPr>
        <w:pStyle w:val="ListBullet"/>
      </w:pPr>
      <w:r>
        <w:t>Presidiare in prima pagina le query generaliste e di categoria oggi assenti dal ranking organico (v. sez. 06)</w:t>
      </w:r>
    </w:p>
    <w:p>
      <w:pPr>
        <w:pStyle w:val="ListBullet"/>
      </w:pPr>
      <w:r>
        <w:t>Portare la quota di conversazione digitale su coppia/benessere e famiglia balneare a coerenza con il loro peso reale nella clientela, riducendo la dispersione comunicativa sul business generalista</w:t>
      </w:r>
    </w:p>
    <w:p>
      <w:pPr>
        <w:pStyle w:val="ListBullet"/>
      </w:pPr>
      <w:r>
        <w:t>Impostare la misurazione della quota diretta e del ritorno da campagne come obiettivo di processo, in assenza di una baseline cliente disponibile oggi</w:t>
      </w:r>
    </w:p>
    <w:p>
      <w:pPr>
        <w:spacing w:before="160" w:after="40"/>
      </w:pPr>
      <w:r>
        <w:rPr>
          <w:b/>
          <w:color w:val="2F5D62"/>
          <w:sz w:val="24"/>
        </w:rPr>
        <w:t>Azioni</w:t>
      </w:r>
    </w:p>
    <w:p>
      <w:r>
        <w:t>La struttura possiede un differenziale di ospitalità raro e già validato in modo trasversale dalle recensioni, ma questo vantaggio resta invisibile a chi cerca genericamente un hotel a Rimini o un hotel fronte mare con piscina: senza una presenza organica su queste query, il potenziale cliente sceglie tra le opzioni che vede, non tra quelle davvero migliori. La priorità immediata è quindi editoriale e strutturale insieme: contenuti e pagine costruiti attorno al lessico con cui la domanda si esprime davvero (formula soggiorno, trattamento, spiaggia inclusa, quattro stelle), capaci di intercettare chi oggi finisce sui concorrenti pur non avendo un'esperienza di soggiorno superiore da offrire.</w:t>
      </w:r>
    </w:p>
    <w:p>
      <w:r>
        <w:t>Il posizionamento dichiarato sul sito include il business/fiera come pubblico primario alla pari di coppie e famiglie, ma la domanda reale intercettata su questo segmento resta minoritaria e la struttura è stagionale, dunque strutturalmente non disponibile per gran parte del calendario fieristico. Correggere questo disallineamento non significa abbandonare il business, ma retrocederlo a presidio mirato sulle sole finestre dell'anno in cui l'apertura coincide con eventi di piazza, lasciando che la comunicazione principale converga su coppia e famiglia, i due segmenti che generano la quasi totalità della domanda reale.</w:t>
      </w:r>
    </w:p>
    <w:p>
      <w:r>
        <w:t>Il mercato di lingua tedesca mostra un giudizio molto favorevole sul portale di riferimento del proprio paese ma un peso ancora contenuto nel mix complessivo delle recensioni: è un segnale di domanda potenziale non ancora pienamente coltivata, da trattare come leva di crescita gestita nel tempo (contenuti in lingua corretta, presidio del portale DACH) piuttosto che come correzione da ottenere in una singola stagione.</w:t>
      </w:r>
    </w:p>
    <w:p>
      <w:pPr>
        <w:spacing w:before="160" w:after="40"/>
      </w:pPr>
      <w:r>
        <w:rPr>
          <w:b/>
          <w:color w:val="2F5D62"/>
          <w:sz w:val="24"/>
        </w:rPr>
        <w:t>KPI</w:t>
      </w:r>
    </w:p>
    <w:p>
      <w:r>
        <w:t>I KPI numerici di controllo (visibilità organica, quota diretta, acquisizione, reputazione) sono raccolti in sez. 06 Misurazione, a cui questa sezione rimanda senza ripeterli.</w:t>
      </w:r>
    </w:p>
    <w:p>
      <w:pPr>
        <w:spacing w:before="160" w:after="40"/>
      </w:pPr>
      <w:r>
        <w:rPr>
          <w:b/>
          <w:color w:val="2F5D62"/>
          <w:sz w:val="24"/>
        </w:rPr>
        <w:t>Note esecutive</w:t>
      </w:r>
    </w:p>
    <w:p>
      <w:pPr>
        <w:pStyle w:val="ListBullet"/>
      </w:pPr>
      <w:r>
        <w:t>Il posizionamento qui delineato è la cornice per tutte le sezioni successive: coerenza di canale (sez. 03), contenuti (sez. 04) e budget (sez. 07) discendono da questa scelta di enfasi su coppia e famiglia</w:t>
      </w:r>
    </w:p>
    <w:p>
      <w:pPr>
        <w:pStyle w:val="ListBullet"/>
      </w:pPr>
      <w:r>
        <w:t>Le metriche tariffarie e di rendimento (definizione di prezzi, listini, occupazione) restano di competenza della struttura: questo piano non le tratta se non come vetrina comunicativa</w:t>
      </w:r>
    </w:p>
    <w:p>
      <w:pPr>
        <w:pStyle w:val="ListBullet"/>
      </w:pPr>
      <w:r>
        <w:t>L'eventuale scostamento tra pubblico dichiarato sul sito e clientela reale misurata (archetipo) va validato nel tempo con i dati del cliente, non trattato come un dato definitivo</w:t>
      </w:r>
    </w:p>
    <w:p>
      <w:r>
        <w:br w:type="page"/>
      </w:r>
    </w:p>
    <w:p>
      <w:pPr>
        <w:spacing w:after="0"/>
      </w:pPr>
      <w:r>
        <w:rPr>
          <w:b/>
          <w:color w:val="2F5D62"/>
          <w:sz w:val="18"/>
        </w:rPr>
        <w:t>SEZIONE 02</w:t>
      </w:r>
    </w:p>
    <w:p>
      <w:pPr>
        <w:spacing w:after="200"/>
        <w:pBdr>
          <w:bottom w:val="single" w:sz="18" w:space="6" w:color="2F5D62"/>
        </w:pBdr>
      </w:pPr>
      <w:r>
        <w:rPr>
          <w:b/>
          <w:color w:val="1A1A2E"/>
          <w:sz w:val="40"/>
        </w:rPr>
        <w:t>Segmenti prioritari &amp; messaggi</w:t>
      </w:r>
    </w:p>
    <w:p>
      <w:pPr>
        <w:spacing w:before="160" w:after="40"/>
      </w:pPr>
      <w:r>
        <w:rPr>
          <w:b/>
          <w:color w:val="2F5D62"/>
          <w:sz w:val="24"/>
        </w:rPr>
        <w:t>Mix di clientela reale (decision record — verità del piano)</w:t>
      </w:r>
    </w:p>
    <w:p>
      <w:r>
        <w:t>Coppie + Famiglie = 72,5% del mix di clientela reale (recensioni Booking): Coppie 42,0% · Famiglie 30,5%.</w:t>
      </w:r>
    </w:p>
    <w:p>
      <w:r>
        <w:t>La clientela reale di Hotel Baia Imperiale non è un pubblico generico da 'hotel 4 stelle fronte mare': è, in ordine di peso, coppia, famiglia con bambini e una quota minoritaria ma presidiabile di business unmanaged. Il piano parla a questi tre segmenti con un messaggio distinto per ciascuno, costruito sul lessico di prodotto (formule, spiaggia inclusa, book early) e non su affermazioni generiche di posizionamento — già trattate in sez. 01. Qui si fissano il messaggio-chiave, la priorità di investimento comunicativo e il ruolo di ciascun segmento nel funnel.</w:t>
      </w:r>
    </w:p>
    <w:p>
      <w:pPr>
        <w:spacing w:before="160" w:after="40"/>
      </w:pPr>
      <w:r>
        <w:rPr>
          <w:b/>
          <w:color w:val="2F5D62"/>
          <w:sz w:val="24"/>
        </w:rPr>
        <w:t>Segmenti prioritari (decision record)</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Segmento</w:t>
            </w:r>
          </w:p>
        </w:tc>
        <w:tc>
          <w:tcPr>
            <w:tcW w:type="dxa" w:w="2160"/>
            <w:shd w:val="clear" w:color="auto" w:fill="2F5D62"/>
          </w:tcPr>
          <w:p>
            <w:r>
              <w:rPr>
                <w:b/>
                <w:color w:val="FFFFFF"/>
                <w:sz w:val="19"/>
              </w:rPr>
              <w:t>Quota misurata</w:t>
            </w:r>
          </w:p>
        </w:tc>
        <w:tc>
          <w:tcPr>
            <w:tcW w:type="dxa" w:w="2160"/>
            <w:shd w:val="clear" w:color="auto" w:fill="2F5D62"/>
          </w:tcPr>
          <w:p>
            <w:r>
              <w:rPr>
                <w:b/>
                <w:color w:val="FFFFFF"/>
                <w:sz w:val="19"/>
              </w:rPr>
              <w:t>Ruolo nel piano</w:t>
            </w:r>
          </w:p>
        </w:tc>
        <w:tc>
          <w:tcPr>
            <w:tcW w:type="dxa" w:w="2160"/>
            <w:shd w:val="clear" w:color="auto" w:fill="2F5D62"/>
          </w:tcPr>
          <w:p>
            <w:r>
              <w:rPr>
                <w:b/>
                <w:color w:val="FFFFFF"/>
                <w:sz w:val="19"/>
              </w:rPr>
              <w:t>Leva prevalente</w:t>
            </w:r>
          </w:p>
        </w:tc>
      </w:tr>
      <w:tr>
        <w:tc>
          <w:tcPr>
            <w:tcW w:type="dxa" w:w="2160"/>
          </w:tcPr>
          <w:p>
            <w:r>
              <w:rPr>
                <w:sz w:val="19"/>
              </w:rPr>
              <w:t>Coppia (senza figli — DINK, matura, occasioni speciali)</w:t>
            </w:r>
          </w:p>
        </w:tc>
        <w:tc>
          <w:tcPr>
            <w:tcW w:type="dxa" w:w="2160"/>
          </w:tcPr>
          <w:p>
            <w:r>
              <w:rPr>
                <w:sz w:val="19"/>
              </w:rPr>
              <w:t>quasi la metà della clientela (Booking e TripAdvisor concordi)</w:t>
            </w:r>
          </w:p>
        </w:tc>
        <w:tc>
          <w:tcPr>
            <w:tcW w:type="dxa" w:w="2160"/>
          </w:tcPr>
          <w:p>
            <w:r>
              <w:rPr>
                <w:sz w:val="19"/>
              </w:rPr>
              <w:t>segmento guida: prodotto benessere/relax + vista mare</w:t>
            </w:r>
          </w:p>
        </w:tc>
        <w:tc>
          <w:tcPr>
            <w:tcW w:type="dxa" w:w="2160"/>
          </w:tcPr>
          <w:p>
            <w:r>
              <w:rPr>
                <w:sz w:val="19"/>
              </w:rPr>
              <w:t>SPA, terrazza panoramica, camera vista mare</w:t>
            </w:r>
          </w:p>
        </w:tc>
      </w:tr>
      <w:tr>
        <w:tc>
          <w:tcPr>
            <w:tcW w:type="dxa" w:w="2160"/>
            <w:shd w:val="clear" w:color="auto" w:fill="EEF2F1"/>
          </w:tcPr>
          <w:p>
            <w:r>
              <w:rPr>
                <w:sz w:val="19"/>
              </w:rPr>
              <w:t>Famiglia con bambini</w:t>
            </w:r>
          </w:p>
        </w:tc>
        <w:tc>
          <w:tcPr>
            <w:tcW w:type="dxa" w:w="2160"/>
            <w:shd w:val="clear" w:color="auto" w:fill="EEF2F1"/>
          </w:tcPr>
          <w:p>
            <w:r>
              <w:rPr>
                <w:sz w:val="19"/>
              </w:rPr>
              <w:t>circa un terzo della clientela</w:t>
            </w:r>
          </w:p>
        </w:tc>
        <w:tc>
          <w:tcPr>
            <w:tcW w:type="dxa" w:w="2160"/>
            <w:shd w:val="clear" w:color="auto" w:fill="EEF2F1"/>
          </w:tcPr>
          <w:p>
            <w:r>
              <w:rPr>
                <w:sz w:val="19"/>
              </w:rPr>
              <w:t>secondo segmento per volume: prodotto mare + formule famiglia</w:t>
            </w:r>
          </w:p>
        </w:tc>
        <w:tc>
          <w:tcPr>
            <w:tcW w:type="dxa" w:w="2160"/>
            <w:shd w:val="clear" w:color="auto" w:fill="EEF2F1"/>
          </w:tcPr>
          <w:p>
            <w:r>
              <w:rPr>
                <w:sz w:val="19"/>
              </w:rPr>
              <w:t>spiaggia inclusa, formule famiglia, convenzioni parchi</w:t>
            </w:r>
          </w:p>
        </w:tc>
      </w:tr>
      <w:tr>
        <w:tc>
          <w:tcPr>
            <w:tcW w:type="dxa" w:w="2160"/>
          </w:tcPr>
          <w:p>
            <w:r>
              <w:rPr>
                <w:sz w:val="19"/>
              </w:rPr>
              <w:t>Business/fiera unmanaged (3B)</w:t>
            </w:r>
          </w:p>
        </w:tc>
        <w:tc>
          <w:tcPr>
            <w:tcW w:type="dxa" w:w="2160"/>
          </w:tcPr>
          <w:p>
            <w:r>
              <w:rPr>
                <w:sz w:val="19"/>
              </w:rPr>
              <w:t>quota minoritaria a doppia cifra ridotta</w:t>
            </w:r>
          </w:p>
        </w:tc>
        <w:tc>
          <w:tcPr>
            <w:tcW w:type="dxa" w:w="2160"/>
          </w:tcPr>
          <w:p>
            <w:r>
              <w:rPr>
                <w:sz w:val="19"/>
              </w:rPr>
              <w:t>presidio opportunistico su prossimità Fiera/Palacongressi</w:t>
            </w:r>
          </w:p>
        </w:tc>
        <w:tc>
          <w:tcPr>
            <w:tcW w:type="dxa" w:w="2160"/>
          </w:tcPr>
          <w:p>
            <w:r>
              <w:rPr>
                <w:sz w:val="19"/>
              </w:rPr>
              <w:t>saletta riunioni, parcheggio convenzionato, rapidità di prenotazione</w:t>
            </w:r>
          </w:p>
        </w:tc>
      </w:tr>
    </w:tbl>
    <w:p>
      <w:pPr>
        <w:spacing w:after="160"/>
      </w:pPr>
    </w:p>
    <w:p>
      <w:r>
        <w:t>Il gruppo di amici resta un segmento secondario a doppia cifra ridotta, coerente in gran parte con le stesse leve della coppia (terrazza, aperitivo, vicinanza al centro storico): non riceve un messaggio dedicato ma viene intercettato dal messaggio coppia/relax.</w:t>
      </w:r>
    </w:p>
    <w:p>
      <w:pPr>
        <w:spacing w:before="160" w:after="40"/>
      </w:pPr>
      <w:r>
        <w:rPr>
          <w:b/>
          <w:color w:val="2F5D62"/>
          <w:sz w:val="24"/>
        </w:rPr>
        <w:t>Obiettivi misurabili</w:t>
      </w:r>
    </w:p>
    <w:p>
      <w:pPr>
        <w:pStyle w:val="ListBullet"/>
      </w:pPr>
      <w:r>
        <w:t>Portare in produzione, entro l'avvio operativo, un messaggio dedicato e materiali specifici per ciascuno dei tre segmenti prioritari (coppia, famiglia, business unmanaged), oggi assenti in forma strutturata</w:t>
      </w:r>
    </w:p>
    <w:p>
      <w:pPr>
        <w:pStyle w:val="ListBullet"/>
      </w:pPr>
      <w:r>
        <w:t>Allineare ogni pagina/contenuto rivolto a famiglia e coppia al lessico di prodotto (formule, spiaggia inclusa, book early): obiettivo di processo, verificabile in fase di audit contenuti</w:t>
      </w:r>
    </w:p>
    <w:p>
      <w:pPr>
        <w:pStyle w:val="ListBullet"/>
      </w:pPr>
      <w:r>
        <w:t>Attivare un presidio minimo (pagina + contenuti factual) per il segmento business unmanaged sulla prossimità a Fiera e Palacongressi, oggi non presidiato in ricerca organica (v. sez. 03)</w:t>
      </w:r>
    </w:p>
    <w:p>
      <w:pPr>
        <w:spacing w:before="160" w:after="40"/>
      </w:pPr>
      <w:r>
        <w:rPr>
          <w:b/>
          <w:color w:val="2F5D62"/>
          <w:sz w:val="24"/>
        </w:rPr>
        <w:t>Azioni</w:t>
      </w:r>
    </w:p>
    <w:p>
      <w:pPr>
        <w:pStyle w:val="ListBullet"/>
      </w:pPr>
      <w:r>
        <w:t>La coppia è il segmento più ampio su entrambe le fonti indipendenti e il prodotto attuale (piscina interna riscaldata, sauna, docce emozionali, terrazza panoramica, camera doppia uso singola vista mare) è già coerente con un posizionamento relax/romantico più che familiare: senza un messaggio che nomini esplicitamente questi elementi, il segmento resta intercettato per caso e non per costruzione. Il messaggio-chiave da presidiare è 'una pausa fronte mare con SPA aperta tutto l'anno e terrazza panoramica per l'aperitivo al tramonto', declinato per le due anime del segmento: la coppia giovane in city-break (leva: rapidità, esperienza, prossimità al centro storico e al Borgo San Giuliano) e la coppia matura o in occasione speciale (leva: cura del dettaglio, benessere, servizio del personale). Per entrambe, la finestra di prenotazione tende a restare più corta e più vicina alla data rispetto alla famiglia: la comunicazione va tenuta viva anche in prossimità delle date, non solo in anticipo (v. sez. 05 per le finestre operative).</w:t>
      </w:r>
    </w:p>
    <w:p>
      <w:pPr>
        <w:pStyle w:val="ListBullet"/>
      </w:pPr>
      <w:r>
        <w:t>La famiglia con bambini è il secondo segmento per volume e il prodotto mare (accesso diretto alla spiaggia, convenzioni con stabilimenti balneari e parchi tematici) risponde direttamente alle sue priorità, ma il messaggio deve nominare la formula, non solo il servizio: 'trattamento a scelta con formula famiglia, spiaggia inclusa (un ombrellone e due lettini a camera), convenzioni parco tematico' è il tipo di frase che intercetta davvero la ricerca di questo pubblico. Vanno inoltre gestite in modo esplicito, dentro il messaggio pre-soggiorno, le aspettative su spazio in camera (con foto/planimetrie reali) e sicurezza in piscina, per prevenire la frizione che oggi emerge nell'esperienza in loco di questo segmento; il tema resta un intervento di comunicazione e prodotto, non un problema di visibilità. La finestra di prenotazione della famiglia è tipicamente più lunga di quella della coppia: il messaggio va reso disponibile con anticipo maggiore, con una leva di prenotazione anticipata dedicata (v. sez. 05 per i mesi operativi).</w:t>
      </w:r>
    </w:p>
    <w:p>
      <w:pPr>
        <w:pStyle w:val="ListBullet"/>
      </w:pPr>
      <w:r>
        <w:t>Il business unmanaged è una quota minoritaria ma leggibile e coerente con un prodotto già esistente sul sito (saletta riunioni, camera doppia uso singola, parcheggio convenzionato) e con un USP di prossimità a Fiera e Palacongressi non ancora tradotto in presidio di ricerca (v. sez. 03). Il messaggio per questo segmento è operativo, non emozionale: distanza in minuti dalla Fiera, disponibilità di parcheggio, connessione, tempi di risposta rapidi e chiarezza su fatturazione. Trattandosi di un pubblico che decide con finestra corta e spesso a ridosso della data, il messaggio deve essere reperibile al momento della ricerca puntuale, non costruito come campagna anticipata.</w:t>
      </w:r>
    </w:p>
    <w:p>
      <w:pPr>
        <w:pStyle w:val="ListBullet"/>
      </w:pPr>
      <w:r>
        <w:t>Il mercato di lingua tedesca, già favorevole nel giudizio (v. sez. 04), va intercettato con lo stesso messaggio-segmento tradotto in tedesco corretto e idiomatico, con priorità sul segmento coppia/benessere che è quello coerente con il prodotto SPA e terrazza.</w:t>
      </w:r>
    </w:p>
    <w:p>
      <w:pPr>
        <w:spacing w:before="160" w:after="40"/>
      </w:pPr>
      <w:r>
        <w:rPr>
          <w:b/>
          <w:color w:val="2F5D62"/>
          <w:sz w:val="24"/>
        </w:rPr>
        <w:t>KPI</w:t>
      </w:r>
    </w:p>
    <w:p>
      <w:pPr>
        <w:pStyle w:val="ListBullet"/>
      </w:pPr>
      <w:r>
        <w:t>V. cruscotto KPI nord in sez. 06 per gli indicatori quantitativi di visibilità e conversione per canale.</w:t>
      </w:r>
    </w:p>
    <w:p>
      <w:pPr>
        <w:pStyle w:val="ListBullet"/>
      </w:pPr>
      <w:r>
        <w:t>Indicatore di processo specifico a questa sezione: numero di segmenti (su tre prioritari) con messaggio e materiali dedicati pubblicati e coerenti con il lessico di prodotto.</w:t>
      </w:r>
    </w:p>
    <w:p>
      <w:pPr>
        <w:spacing w:before="160" w:after="40"/>
      </w:pPr>
      <w:r>
        <w:rPr>
          <w:b/>
          <w:color w:val="2F5D62"/>
          <w:sz w:val="24"/>
        </w:rPr>
        <w:t>Note esecutive</w:t>
      </w:r>
    </w:p>
    <w:p>
      <w:pPr>
        <w:pStyle w:val="ListBullet"/>
      </w:pPr>
      <w:r>
        <w:t>I materiali per famiglia e coppia vanno prodotti nel periodo di chiusura stagionale insieme al resto del cantiere tecnico-contenutistico (v. sez. 05): non sono un'attività da avviare a struttura aperta.</w:t>
      </w:r>
    </w:p>
    <w:p>
      <w:pPr>
        <w:pStyle w:val="ListBullet"/>
      </w:pPr>
      <w:r>
        <w:t>Il messaggio business, per sua natura operativo e legato a decisioni ravvicinate, può restare attivo tutto l'anno con sforzo minimo di manutenzione, senza competere per budget con i due segmenti guida.</w:t>
      </w:r>
    </w:p>
    <w:p>
      <w:pPr>
        <w:pStyle w:val="ListBullet"/>
      </w:pPr>
      <w:r>
        <w:t>Le finestre di prenotazione citate per coppia e famiglia sono lette come contesto narrativo del comportamento d'acquisto, non come dati certi della struttura: la baseline reale andrebbe verificata sui canali di prenotazione diretta (v. sez. 08).</w:t>
      </w:r>
    </w:p>
    <w:p>
      <w:r>
        <w:br w:type="page"/>
      </w:r>
    </w:p>
    <w:p>
      <w:pPr>
        <w:spacing w:after="0"/>
      </w:pPr>
      <w:r>
        <w:rPr>
          <w:b/>
          <w:color w:val="2F5D62"/>
          <w:sz w:val="18"/>
        </w:rPr>
        <w:t>SEZIONE 03</w:t>
      </w:r>
    </w:p>
    <w:p>
      <w:pPr>
        <w:spacing w:after="200"/>
        <w:pBdr>
          <w:bottom w:val="single" w:sz="18" w:space="6" w:color="2F5D62"/>
        </w:pBdr>
      </w:pPr>
      <w:r>
        <w:rPr>
          <w:b/>
          <w:color w:val="1A1A2E"/>
          <w:sz w:val="40"/>
        </w:rPr>
        <w:t>Strategia di canale (core)</w:t>
      </w:r>
    </w:p>
    <w:p>
      <w:pPr>
        <w:spacing w:before="160" w:after="40"/>
      </w:pPr>
      <w:r>
        <w:rPr>
          <w:b/>
          <w:color w:val="2F5D62"/>
          <w:sz w:val="24"/>
        </w:rPr>
        <w:t>Matrice dei canali (decision record — verità del piano)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Canale</w:t>
            </w:r>
          </w:p>
        </w:tc>
        <w:tc>
          <w:tcPr>
            <w:tcW w:type="dxa" w:w="1728"/>
            <w:shd w:val="clear" w:color="auto" w:fill="2F5D62"/>
          </w:tcPr>
          <w:p>
            <w:r>
              <w:rPr>
                <w:b/>
                <w:color w:val="FFFFFF"/>
                <w:sz w:val="19"/>
              </w:rPr>
              <w:t>Verdetto</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Motivo</w:t>
            </w:r>
          </w:p>
        </w:tc>
        <w:tc>
          <w:tcPr>
            <w:tcW w:type="dxa" w:w="1728"/>
            <w:shd w:val="clear" w:color="auto" w:fill="2F5D62"/>
          </w:tcPr>
          <w:p>
            <w:r>
              <w:rPr>
                <w:b/>
                <w:color w:val="FFFFFF"/>
                <w:sz w:val="19"/>
              </w:rPr>
              <w:t>Dipendenze</w:t>
            </w:r>
          </w:p>
        </w:tc>
      </w:tr>
      <w:tr>
        <w:tc>
          <w:tcPr>
            <w:tcW w:type="dxa" w:w="1728"/>
          </w:tcPr>
          <w:p>
            <w:r>
              <w:rPr>
                <w:sz w:val="19"/>
              </w:rPr>
              <w:t>SEO organico</w:t>
            </w:r>
          </w:p>
        </w:tc>
        <w:tc>
          <w:tcPr>
            <w:tcW w:type="dxa" w:w="1728"/>
          </w:tcPr>
          <w:p>
            <w:r>
              <w:rPr>
                <w:sz w:val="19"/>
              </w:rPr>
              <w:t>Attivare (prioritario)</w:t>
            </w:r>
          </w:p>
        </w:tc>
        <w:tc>
          <w:tcPr>
            <w:tcW w:type="dxa" w:w="1728"/>
          </w:tcPr>
          <w:p>
            <w:r>
              <w:rPr>
                <w:sz w:val="19"/>
              </w:rPr>
              <w:t>alta</w:t>
            </w:r>
          </w:p>
        </w:tc>
        <w:tc>
          <w:tcPr>
            <w:tcW w:type="dxa" w:w="1728"/>
          </w:tcPr>
          <w:p>
            <w:r>
              <w:rPr>
                <w:sz w:val="19"/>
              </w:rPr>
              <w:t>35 keyword su 37 in gap (95%); 79640 ricerche/mese di domanda non presidiata.</w:t>
            </w:r>
          </w:p>
        </w:tc>
        <w:tc>
          <w:tcPr>
            <w:tcW w:type="dxa" w:w="1728"/>
          </w:tcPr>
          <w:p>
            <w:r>
              <w:rPr>
                <w:sz w:val="19"/>
              </w:rPr>
              <w:t>—</w:t>
            </w:r>
          </w:p>
        </w:tc>
      </w:tr>
      <w:tr>
        <w:tc>
          <w:tcPr>
            <w:tcW w:type="dxa" w:w="1728"/>
            <w:shd w:val="clear" w:color="auto" w:fill="EEF2F1"/>
          </w:tcPr>
          <w:p>
            <w:r>
              <w:rPr>
                <w:sz w:val="19"/>
              </w:rPr>
              <w:t>Search advertising (Google Ads)</w:t>
            </w:r>
          </w:p>
        </w:tc>
        <w:tc>
          <w:tcPr>
            <w:tcW w:type="dxa" w:w="1728"/>
            <w:shd w:val="clear" w:color="auto" w:fill="EEF2F1"/>
          </w:tcPr>
          <w:p>
            <w:r>
              <w:rPr>
                <w:sz w:val="19"/>
              </w:rPr>
              <w:t>Attivare (stagionale)</w:t>
            </w:r>
          </w:p>
        </w:tc>
        <w:tc>
          <w:tcPr>
            <w:tcW w:type="dxa" w:w="1728"/>
            <w:shd w:val="clear" w:color="auto" w:fill="EEF2F1"/>
          </w:tcPr>
          <w:p>
            <w:r>
              <w:rPr>
                <w:sz w:val="19"/>
              </w:rPr>
              <w:t>media</w:t>
            </w:r>
          </w:p>
        </w:tc>
        <w:tc>
          <w:tcPr>
            <w:tcW w:type="dxa" w:w="1728"/>
            <w:shd w:val="clear" w:color="auto" w:fill="EEF2F1"/>
          </w:tcPr>
          <w:p>
            <w:r>
              <w:rPr>
                <w:sz w:val="19"/>
              </w:rPr>
              <w:t>84% della domanda misurata è ad alta competizione: la search advertising presidia le query commerciali dove l'organico non arriva in tempo, su doppia finestra (anticipo di mercato + sotto-data).</w:t>
            </w:r>
          </w:p>
        </w:tc>
        <w:tc>
          <w:tcPr>
            <w:tcW w:type="dxa" w:w="1728"/>
            <w:shd w:val="clear" w:color="auto" w:fill="EEF2F1"/>
          </w:tcPr>
          <w:p>
            <w:r>
              <w:rPr>
                <w:sz w:val="19"/>
              </w:rPr>
              <w:t>—</w:t>
            </w:r>
          </w:p>
        </w:tc>
      </w:tr>
      <w:tr>
        <w:tc>
          <w:tcPr>
            <w:tcW w:type="dxa" w:w="1728"/>
          </w:tcPr>
          <w:p>
            <w:r>
              <w:rPr>
                <w:sz w:val="19"/>
              </w:rPr>
              <w:t>Metasearch (Google Hotel Ads, Trivago)</w:t>
            </w:r>
          </w:p>
        </w:tc>
        <w:tc>
          <w:tcPr>
            <w:tcW w:type="dxa" w:w="1728"/>
          </w:tcPr>
          <w:p>
            <w:r>
              <w:rPr>
                <w:sz w:val="19"/>
              </w:rPr>
              <w:t>Non ora</w:t>
            </w:r>
          </w:p>
        </w:tc>
        <w:tc>
          <w:tcPr>
            <w:tcW w:type="dxa" w:w="1728"/>
          </w:tcPr>
          <w:p>
            <w:r>
              <w:rPr>
                <w:sz w:val="19"/>
              </w:rPr>
              <w:t>bassa</w:t>
            </w:r>
          </w:p>
        </w:tc>
        <w:tc>
          <w:tcPr>
            <w:tcW w:type="dxa" w:w="1728"/>
          </w:tcPr>
          <w:p>
            <w:r>
              <w:rPr>
                <w:sz w:val="19"/>
              </w:rPr>
              <w:t>Dipendenza non verificata: booking diretto presidiato + rate parity.</w:t>
            </w:r>
          </w:p>
        </w:tc>
        <w:tc>
          <w:tcPr>
            <w:tcW w:type="dxa" w:w="1728"/>
          </w:tcPr>
          <w:p>
            <w:r>
              <w:rPr>
                <w:sz w:val="19"/>
              </w:rPr>
              <w:t>booking_diretto, rate_parity</w:t>
            </w:r>
          </w:p>
        </w:tc>
      </w:tr>
      <w:tr>
        <w:tc>
          <w:tcPr>
            <w:tcW w:type="dxa" w:w="1728"/>
            <w:shd w:val="clear" w:color="auto" w:fill="EEF2F1"/>
          </w:tcPr>
          <w:p>
            <w:r>
              <w:rPr>
                <w:sz w:val="19"/>
              </w:rPr>
              <w:t>Sito &amp; booking diretto</w:t>
            </w:r>
          </w:p>
        </w:tc>
        <w:tc>
          <w:tcPr>
            <w:tcW w:type="dxa" w:w="1728"/>
            <w:shd w:val="clear" w:color="auto" w:fill="EEF2F1"/>
          </w:tcPr>
          <w:p>
            <w:r>
              <w:rPr>
                <w:sz w:val="19"/>
              </w:rPr>
              <w:t>Attivare (prioritario)</w:t>
            </w:r>
          </w:p>
        </w:tc>
        <w:tc>
          <w:tcPr>
            <w:tcW w:type="dxa" w:w="1728"/>
            <w:shd w:val="clear" w:color="auto" w:fill="EEF2F1"/>
          </w:tcPr>
          <w:p>
            <w:r>
              <w:rPr>
                <w:sz w:val="19"/>
              </w:rPr>
              <w:t>alta</w:t>
            </w:r>
          </w:p>
        </w:tc>
        <w:tc>
          <w:tcPr>
            <w:tcW w:type="dxa" w:w="1728"/>
            <w:shd w:val="clear" w:color="auto" w:fill="EEF2F1"/>
          </w:tcPr>
          <w:p>
            <w:r>
              <w:rPr>
                <w:sz w:val="19"/>
              </w:rPr>
              <w:t>Il canale diretto è l'obiettivo strutturale ma i dati strutturati sono assenti dal sito: intervenire su schema, pagine e booking engine per abilitare la conversione diretta. Il listino va chiuso entro nov per aprire le vendite ai mercati esteri.</w:t>
            </w:r>
          </w:p>
        </w:tc>
        <w:tc>
          <w:tcPr>
            <w:tcW w:type="dxa" w:w="1728"/>
            <w:shd w:val="clear" w:color="auto" w:fill="EEF2F1"/>
          </w:tcPr>
          <w:p>
            <w:r>
              <w:rPr>
                <w:sz w:val="19"/>
              </w:rPr>
              <w:t>—</w:t>
            </w:r>
          </w:p>
        </w:tc>
      </w:tr>
      <w:tr>
        <w:tc>
          <w:tcPr>
            <w:tcW w:type="dxa" w:w="1728"/>
          </w:tcPr>
          <w:p>
            <w:r>
              <w:rPr>
                <w:sz w:val="19"/>
              </w:rPr>
              <w:t>OTA / distribuzione</w:t>
            </w:r>
          </w:p>
        </w:tc>
        <w:tc>
          <w:tcPr>
            <w:tcW w:type="dxa" w:w="1728"/>
          </w:tcPr>
          <w:p>
            <w:r>
              <w:rPr>
                <w:sz w:val="19"/>
              </w:rPr>
              <w:t>Mantenere</w:t>
            </w:r>
          </w:p>
        </w:tc>
        <w:tc>
          <w:tcPr>
            <w:tcW w:type="dxa" w:w="1728"/>
          </w:tcPr>
          <w:p>
            <w:r>
              <w:rPr>
                <w:sz w:val="19"/>
              </w:rPr>
              <w:t>bassa</w:t>
            </w:r>
          </w:p>
        </w:tc>
        <w:tc>
          <w:tcPr>
            <w:tcW w:type="dxa" w:w="1728"/>
          </w:tcPr>
          <w:p>
            <w:r>
              <w:rPr>
                <w:sz w:val="19"/>
              </w:rPr>
              <w:t>Distribuzione OTA da governare per il billboard effect: mantenere presenza e visibilità, spostando progressivamente quota sul canale diretto quando la parità regge.</w:t>
            </w:r>
          </w:p>
        </w:tc>
        <w:tc>
          <w:tcPr>
            <w:tcW w:type="dxa" w:w="1728"/>
          </w:tcPr>
          <w:p>
            <w:r>
              <w:rPr>
                <w:sz w:val="19"/>
              </w:rPr>
              <w:t>booking_diretto, rate_parity</w:t>
            </w:r>
          </w:p>
        </w:tc>
      </w:tr>
      <w:tr>
        <w:tc>
          <w:tcPr>
            <w:tcW w:type="dxa" w:w="1728"/>
            <w:shd w:val="clear" w:color="auto" w:fill="EEF2F1"/>
          </w:tcPr>
          <w:p>
            <w:r>
              <w:rPr>
                <w:sz w:val="19"/>
              </w:rPr>
              <w:t>Social organico</w:t>
            </w:r>
          </w:p>
        </w:tc>
        <w:tc>
          <w:tcPr>
            <w:tcW w:type="dxa" w:w="1728"/>
            <w:shd w:val="clear" w:color="auto" w:fill="EEF2F1"/>
          </w:tcPr>
          <w:p>
            <w:r>
              <w:rPr>
                <w:sz w:val="19"/>
              </w:rPr>
              <w:t>Rafforzare</w:t>
            </w:r>
          </w:p>
        </w:tc>
        <w:tc>
          <w:tcPr>
            <w:tcW w:type="dxa" w:w="1728"/>
            <w:shd w:val="clear" w:color="auto" w:fill="EEF2F1"/>
          </w:tcPr>
          <w:p>
            <w:r>
              <w:rPr>
                <w:sz w:val="19"/>
              </w:rPr>
              <w:t>media</w:t>
            </w:r>
          </w:p>
        </w:tc>
        <w:tc>
          <w:tcPr>
            <w:tcW w:type="dxa" w:w="1728"/>
            <w:shd w:val="clear" w:color="auto" w:fill="EEF2F1"/>
          </w:tcPr>
          <w:p>
            <w:r>
              <w:rPr>
                <w:sz w:val="19"/>
              </w:rPr>
              <w:t>9 asset visuali forti nel profilo (piscina/benessere/fronte mare/terrazza): raccogliere contenuto in stagione e potenziare la presenza organica.</w:t>
            </w:r>
          </w:p>
        </w:tc>
        <w:tc>
          <w:tcPr>
            <w:tcW w:type="dxa" w:w="1728"/>
            <w:shd w:val="clear" w:color="auto" w:fill="EEF2F1"/>
          </w:tcPr>
          <w:p>
            <w:r>
              <w:rPr>
                <w:sz w:val="19"/>
              </w:rPr>
              <w:t>—</w:t>
            </w:r>
          </w:p>
        </w:tc>
      </w:tr>
      <w:tr>
        <w:tc>
          <w:tcPr>
            <w:tcW w:type="dxa" w:w="1728"/>
          </w:tcPr>
          <w:p>
            <w:r>
              <w:rPr>
                <w:sz w:val="19"/>
              </w:rPr>
              <w:t>Social advertising</w:t>
            </w:r>
          </w:p>
        </w:tc>
        <w:tc>
          <w:tcPr>
            <w:tcW w:type="dxa" w:w="1728"/>
          </w:tcPr>
          <w:p>
            <w:r>
              <w:rPr>
                <w:sz w:val="19"/>
              </w:rPr>
              <w:t>Mantenere</w:t>
            </w:r>
          </w:p>
        </w:tc>
        <w:tc>
          <w:tcPr>
            <w:tcW w:type="dxa" w:w="1728"/>
          </w:tcPr>
          <w:p>
            <w:r>
              <w:rPr>
                <w:sz w:val="19"/>
              </w:rPr>
              <w:t>bassa</w:t>
            </w:r>
          </w:p>
        </w:tc>
        <w:tc>
          <w:tcPr>
            <w:tcW w:type="dxa" w:w="1728"/>
          </w:tcPr>
          <w:p>
            <w:r>
              <w:rPr>
                <w:sz w:val="19"/>
              </w:rPr>
              <w:t>Advertising social da attivare su segmenti e finestre stagionali definite: finestra ancorata al picco reale.</w:t>
            </w:r>
          </w:p>
        </w:tc>
        <w:tc>
          <w:tcPr>
            <w:tcW w:type="dxa" w:w="1728"/>
          </w:tcPr>
          <w:p>
            <w:r>
              <w:rPr>
                <w:sz w:val="19"/>
              </w:rPr>
              <w:t>—</w:t>
            </w:r>
          </w:p>
        </w:tc>
      </w:tr>
      <w:tr>
        <w:tc>
          <w:tcPr>
            <w:tcW w:type="dxa" w:w="1728"/>
            <w:shd w:val="clear" w:color="auto" w:fill="EEF2F1"/>
          </w:tcPr>
          <w:p>
            <w:r>
              <w:rPr>
                <w:sz w:val="19"/>
              </w:rPr>
              <w:t>Email &amp; CRM</w:t>
            </w:r>
          </w:p>
        </w:tc>
        <w:tc>
          <w:tcPr>
            <w:tcW w:type="dxa" w:w="1728"/>
            <w:shd w:val="clear" w:color="auto" w:fill="EEF2F1"/>
          </w:tcPr>
          <w:p>
            <w:r>
              <w:rPr>
                <w:sz w:val="19"/>
              </w:rPr>
              <w:t>Attivare</w:t>
            </w:r>
          </w:p>
        </w:tc>
        <w:tc>
          <w:tcPr>
            <w:tcW w:type="dxa" w:w="1728"/>
            <w:shd w:val="clear" w:color="auto" w:fill="EEF2F1"/>
          </w:tcPr>
          <w:p>
            <w:r>
              <w:rPr>
                <w:sz w:val="19"/>
              </w:rPr>
              <w:t>media</w:t>
            </w:r>
          </w:p>
        </w:tc>
        <w:tc>
          <w:tcPr>
            <w:tcW w:type="dxa" w:w="1728"/>
            <w:shd w:val="clear" w:color="auto" w:fill="EEF2F1"/>
          </w:tcPr>
          <w:p>
            <w:r>
              <w:rPr>
                <w:sz w:val="19"/>
              </w:rPr>
              <w:t>Famiglie e coppie sono il 72% della clientela reale: l'economia dei ripetenti giustifica email/CRM come leva di valore del cliente diretto.</w:t>
            </w:r>
          </w:p>
        </w:tc>
        <w:tc>
          <w:tcPr>
            <w:tcW w:type="dxa" w:w="1728"/>
            <w:shd w:val="clear" w:color="auto" w:fill="EEF2F1"/>
          </w:tcPr>
          <w:p>
            <w:r>
              <w:rPr>
                <w:sz w:val="19"/>
              </w:rPr>
              <w:t>—</w:t>
            </w:r>
          </w:p>
        </w:tc>
      </w:tr>
      <w:tr>
        <w:tc>
          <w:tcPr>
            <w:tcW w:type="dxa" w:w="1728"/>
          </w:tcPr>
          <w:p>
            <w:r>
              <w:rPr>
                <w:sz w:val="19"/>
              </w:rPr>
              <w:t>Reputation &amp; gestione recensioni</w:t>
            </w:r>
          </w:p>
        </w:tc>
        <w:tc>
          <w:tcPr>
            <w:tcW w:type="dxa" w:w="1728"/>
          </w:tcPr>
          <w:p>
            <w:r>
              <w:rPr>
                <w:sz w:val="19"/>
              </w:rPr>
              <w:t>Mantenere</w:t>
            </w:r>
          </w:p>
        </w:tc>
        <w:tc>
          <w:tcPr>
            <w:tcW w:type="dxa" w:w="1728"/>
          </w:tcPr>
          <w:p>
            <w:r>
              <w:rPr>
                <w:sz w:val="19"/>
              </w:rPr>
              <w:t>bassa</w:t>
            </w:r>
          </w:p>
        </w:tc>
        <w:tc>
          <w:tcPr>
            <w:tcW w:type="dxa" w:w="1728"/>
          </w:tcPr>
          <w:p>
            <w:r>
              <w:rPr>
                <w:sz w:val="19"/>
              </w:rPr>
              <w:t>Presidio reputazione da mantenere (canale trasversale al journey).</w:t>
            </w:r>
          </w:p>
        </w:tc>
        <w:tc>
          <w:tcPr>
            <w:tcW w:type="dxa" w:w="1728"/>
          </w:tcPr>
          <w:p>
            <w:r>
              <w:rPr>
                <w:sz w:val="19"/>
              </w:rPr>
              <w:t>—</w:t>
            </w:r>
          </w:p>
        </w:tc>
      </w:tr>
      <w:tr>
        <w:tc>
          <w:tcPr>
            <w:tcW w:type="dxa" w:w="1728"/>
            <w:shd w:val="clear" w:color="auto" w:fill="EEF2F1"/>
          </w:tcPr>
          <w:p>
            <w:r>
              <w:rPr>
                <w:sz w:val="19"/>
              </w:rPr>
              <w:t>AEO / assistenti AI</w:t>
            </w:r>
          </w:p>
        </w:tc>
        <w:tc>
          <w:tcPr>
            <w:tcW w:type="dxa" w:w="1728"/>
            <w:shd w:val="clear" w:color="auto" w:fill="EEF2F1"/>
          </w:tcPr>
          <w:p>
            <w:r>
              <w:rPr>
                <w:sz w:val="19"/>
              </w:rPr>
              <w:t>Mantenere</w:t>
            </w:r>
          </w:p>
        </w:tc>
        <w:tc>
          <w:tcPr>
            <w:tcW w:type="dxa" w:w="1728"/>
            <w:shd w:val="clear" w:color="auto" w:fill="EEF2F1"/>
          </w:tcPr>
          <w:p>
            <w:r>
              <w:rPr>
                <w:sz w:val="19"/>
              </w:rPr>
              <w:t>bassa</w:t>
            </w:r>
          </w:p>
        </w:tc>
        <w:tc>
          <w:tcPr>
            <w:tcW w:type="dxa" w:w="1728"/>
            <w:shd w:val="clear" w:color="auto" w:fill="EEF2F1"/>
          </w:tcPr>
          <w:p>
            <w:r>
              <w:rPr>
                <w:sz w:val="19"/>
              </w:rPr>
              <w:t>Audit AEO parziale/provvisorio (copertura provider incompleta): trattare come segnale, non come baseline consolidata.</w:t>
            </w:r>
          </w:p>
        </w:tc>
        <w:tc>
          <w:tcPr>
            <w:tcW w:type="dxa" w:w="1728"/>
            <w:shd w:val="clear" w:color="auto" w:fill="EEF2F1"/>
          </w:tcPr>
          <w:p>
            <w:r>
              <w:rPr>
                <w:sz w:val="19"/>
              </w:rPr>
              <w:t>—</w:t>
            </w:r>
          </w:p>
        </w:tc>
      </w:tr>
      <w:tr>
        <w:tc>
          <w:tcPr>
            <w:tcW w:type="dxa" w:w="1728"/>
          </w:tcPr>
          <w:p>
            <w:r>
              <w:rPr>
                <w:sz w:val="19"/>
              </w:rPr>
              <w:t>Mercato DACH (area di lingua tedesca)</w:t>
            </w:r>
          </w:p>
        </w:tc>
        <w:tc>
          <w:tcPr>
            <w:tcW w:type="dxa" w:w="1728"/>
          </w:tcPr>
          <w:p>
            <w:r>
              <w:rPr>
                <w:sz w:val="19"/>
              </w:rPr>
              <w:t>Attivare</w:t>
            </w:r>
          </w:p>
        </w:tc>
        <w:tc>
          <w:tcPr>
            <w:tcW w:type="dxa" w:w="1728"/>
          </w:tcPr>
          <w:p>
            <w:r>
              <w:rPr>
                <w:sz w:val="19"/>
              </w:rPr>
              <w:t>media</w:t>
            </w:r>
          </w:p>
        </w:tc>
        <w:tc>
          <w:tcPr>
            <w:tcW w:type="dxa" w:w="1728"/>
          </w:tcPr>
          <w:p>
            <w:r>
              <w:rPr>
                <w:sz w:val="19"/>
              </w:rPr>
              <w:t>Mercato DACH già presente: ospiti di lingua tedesca 16% della clientela reale; scheda HolidayCheck attiva. Il tedesco prenota con ~5 mesi di anticipo: aprire le vendite di conseguenza.</w:t>
            </w:r>
          </w:p>
        </w:tc>
        <w:tc>
          <w:tcPr>
            <w:tcW w:type="dxa" w:w="1728"/>
          </w:tcPr>
          <w:p>
            <w:r>
              <w:rPr>
                <w:sz w:val="19"/>
              </w:rPr>
              <w:t>—</w:t>
            </w:r>
          </w:p>
        </w:tc>
      </w:tr>
      <w:tr>
        <w:tc>
          <w:tcPr>
            <w:tcW w:type="dxa" w:w="1728"/>
            <w:shd w:val="clear" w:color="auto" w:fill="EEF2F1"/>
          </w:tcPr>
          <w:p>
            <w:r>
              <w:rPr>
                <w:sz w:val="19"/>
              </w:rPr>
              <w:t>Segmento business / MICE</w:t>
            </w:r>
          </w:p>
        </w:tc>
        <w:tc>
          <w:tcPr>
            <w:tcW w:type="dxa" w:w="1728"/>
            <w:shd w:val="clear" w:color="auto" w:fill="EEF2F1"/>
          </w:tcPr>
          <w:p>
            <w:r>
              <w:rPr>
                <w:sz w:val="19"/>
              </w:rPr>
              <w:t>Attivare</w:t>
            </w:r>
          </w:p>
        </w:tc>
        <w:tc>
          <w:tcPr>
            <w:tcW w:type="dxa" w:w="1728"/>
            <w:shd w:val="clear" w:color="auto" w:fill="EEF2F1"/>
          </w:tcPr>
          <w:p>
            <w:r>
              <w:rPr>
                <w:sz w:val="19"/>
              </w:rPr>
              <w:t>media</w:t>
            </w:r>
          </w:p>
        </w:tc>
        <w:tc>
          <w:tcPr>
            <w:tcW w:type="dxa" w:w="1728"/>
            <w:shd w:val="clear" w:color="auto" w:fill="EEF2F1"/>
          </w:tcPr>
          <w:p>
            <w:r>
              <w:rPr>
                <w:sz w:val="19"/>
              </w:rPr>
              <w:t>Struttura annuale con vocazione fiere/business: presidiare il calendario congressuale (piano presenza fiere) oltre alla domanda leisure.</w:t>
            </w:r>
          </w:p>
        </w:tc>
        <w:tc>
          <w:tcPr>
            <w:tcW w:type="dxa" w:w="1728"/>
            <w:shd w:val="clear" w:color="auto" w:fill="EEF2F1"/>
          </w:tcPr>
          <w:p>
            <w:r>
              <w:rPr>
                <w:sz w:val="19"/>
              </w:rPr>
              <w:t>—</w:t>
            </w:r>
          </w:p>
        </w:tc>
      </w:tr>
      <w:tr>
        <w:tc>
          <w:tcPr>
            <w:tcW w:type="dxa" w:w="1728"/>
          </w:tcPr>
          <w:p>
            <w:r>
              <w:rPr>
                <w:sz w:val="19"/>
              </w:rPr>
              <w:t>Local &amp; Google Business Profile</w:t>
            </w:r>
          </w:p>
        </w:tc>
        <w:tc>
          <w:tcPr>
            <w:tcW w:type="dxa" w:w="1728"/>
          </w:tcPr>
          <w:p>
            <w:r>
              <w:rPr>
                <w:sz w:val="19"/>
              </w:rPr>
              <w:t>Attivare</w:t>
            </w:r>
          </w:p>
        </w:tc>
        <w:tc>
          <w:tcPr>
            <w:tcW w:type="dxa" w:w="1728"/>
          </w:tcPr>
          <w:p>
            <w:r>
              <w:rPr>
                <w:sz w:val="19"/>
              </w:rPr>
              <w:t>media</w:t>
            </w:r>
          </w:p>
        </w:tc>
        <w:tc>
          <w:tcPr>
            <w:tcW w:type="dxa" w:w="1728"/>
          </w:tcPr>
          <w:p>
            <w:r>
              <w:rPr>
                <w:sz w:val="19"/>
              </w:rPr>
              <w:t>Dati strutturati assenti: presidiare scheda locale / Google Business Profile (NAP, categorie, foto) per le query 'vicino a me' e mappe.</w:t>
            </w:r>
          </w:p>
        </w:tc>
        <w:tc>
          <w:tcPr>
            <w:tcW w:type="dxa" w:w="1728"/>
          </w:tcPr>
          <w:p>
            <w:r>
              <w:rPr>
                <w:sz w:val="19"/>
              </w:rPr>
              <w:t>—</w:t>
            </w:r>
          </w:p>
        </w:tc>
      </w:tr>
    </w:tbl>
    <w:p>
      <w:pPr>
        <w:spacing w:after="160"/>
      </w:pPr>
    </w:p>
    <w:p>
      <w:pPr>
        <w:spacing w:before="160" w:after="40"/>
      </w:pPr>
      <w:r>
        <w:rPr>
          <w:b/>
          <w:color w:val="2F5D62"/>
          <w:sz w:val="24"/>
        </w:rPr>
        <w:t>Matrice di canale</w:t>
      </w:r>
    </w:p>
    <w:p>
      <w:r>
        <w:t>La matrice restituisce un quadro chiaro: due canali possono partire subito senza condizioni, tre restano subordinati alla chiusura di un gap conoscitivo preciso, uno va mantenuto nella sua funzione attuale e due aspettano un censimento propedeutico. Questa sequenza — non un attacco su tutti i fronti insieme — è la strategia di canale: si mette a terra ciò che non ha ostacoli, si sblocca in parallelo ciò che li ha, si preserva ciò che già funziona.</w:t>
      </w:r>
    </w:p>
    <w:p>
      <w:pPr>
        <w:spacing w:before="160" w:after="40"/>
      </w:pPr>
      <w:r>
        <w:rPr>
          <w:b/>
          <w:color w:val="2F5D62"/>
          <w:sz w:val="24"/>
        </w:rPr>
        <w:t>Obiettivi misurabili</w:t>
      </w:r>
    </w:p>
    <w:p>
      <w:pPr>
        <w:pStyle w:val="ListBullet"/>
      </w:pPr>
      <w:r>
        <w:t>Presidiare in prima pagina le query generaliste ad alto volume del gap (v. sez. 06)</w:t>
      </w:r>
    </w:p>
    <w:p>
      <w:pPr>
        <w:pStyle w:val="ListBullet"/>
      </w:pPr>
      <w:r>
        <w:t>Attivare il presidio locale per le query di prossimità business/fiera (v. sez. 06)</w:t>
      </w:r>
    </w:p>
    <w:p>
      <w:pPr>
        <w:pStyle w:val="ListBullet"/>
      </w:pPr>
      <w:r>
        <w:t>Chiudere entro il trimestre le verifiche propedeutiche su parity e booking engine (obiettivo di processo)</w:t>
      </w:r>
    </w:p>
    <w:p>
      <w:pPr>
        <w:pStyle w:val="ListBullet"/>
      </w:pPr>
      <w:r>
        <w:t>Completare l'audit AEO con strumentazione funzionante su tutti gli assistenti (obiettivo di processo)</w:t>
      </w:r>
    </w:p>
    <w:p>
      <w:pPr>
        <w:spacing w:before="160" w:after="40"/>
      </w:pPr>
      <w:r>
        <w:rPr>
          <w:b/>
          <w:color w:val="2F5D62"/>
          <w:sz w:val="24"/>
        </w:rPr>
        <w:t>Azioni</w:t>
      </w:r>
    </w:p>
    <w:p>
      <w:r>
        <w:t>Il canale organico è quello con il ritorno più immediato e senza alcuna dipendenza da sbloccare: la scarsissima intercettazione della domanda generalista, a fronte di un'autorità reputazionale già superiore alla media del set analizzato, significa che oggi la struttura lascia sul tavolo la parte più larga della domanda proprio dove converte meglio, cioè in prima pagina. La priorità operativa è costruire pagine e contenuti factual sul cluster spa/coppia (orari, fasce gratuite, percorso a pagamento) e sul cluster famiglia (formule, spiaggia inclusa, sicurezza piscina dichiarata con protocolli espliciti), presidiando in parallelo le query generaliste e quella specifica sulla categoria a 4 stelle. Questo lavoro si innesta senza attriti nel cantiere della bassa stagione già previsto per la struttura e produce l'effetto più duraturo sulla distribuzione dei click, perché muove asset di proprietà (sito, schede) e non dipende da terzi.</w:t>
      </w:r>
    </w:p>
    <w:p>
      <w:r>
        <w:t>Il local/Google Business Profile merita lo stesso trattamento «agire ora»: l'assenza di presidio rilevato sulle query di prossimità rispetto a Fiera e Palacongressi, a fronte di una pagina dedicata già esistente sul sito, è un gap facilmente colmabile con categorizzazione corretta, foto e contenuti factual (distanza, parcheggio, fattura, wifi) sulla scheda e sulla pagina business. Anche qui non ci sono dipendenze bloccanti: si tratta di ottimizzare asset già presenti, non di costruirne di nuovi.</w:t>
      </w:r>
    </w:p>
    <w:p>
      <w:r>
        <w:t>Metasearch e booking engine condividono la stessa logica di condizionamento: spingere il diretto sui portali di comparazione prezzo ha senso solo se il prezzo diretto non risulta più alto di quello OTA — altrimenti si finanzia la scoperta del cliente e si perde comunque la prenotazione. Allo stesso modo, indirizzare più traffico verso il sito ha senso solo se il motore di prenotazione converte quel traffico senza frizioni. Prima di allocare budget su questi due fronti va quindi completata una verifica puntuale: l'allineamento tariffario tra sito e OTA sui principali metasearch, e un audit tecnico del motore di prenotazione (velocità di caricamento, numero di passaggi, esperienza mobile). Sono verifiche rapide e a basso costo, propedeutiche a qualunque investimento incrementale su questi due canali: finché non sono chiuse, il budget resta sugli asset senza condizioni.</w:t>
      </w:r>
    </w:p>
    <w:p>
      <w:r>
        <w:t>Il canale OTA mantiene il suo ruolo attuale di presidio del volume: il rating solido su tutte le piattaforme analizzate e il numero di recensioni raccolte (in particolare su Trivago e Hotels.com) confermano che è un canale che oggi funziona e che non richiede una correzione di rotta, ma un'ottimizzazione continua delle schede e dei contenuti multilingua, in coerenza con il mix di mercati già presente.</w:t>
      </w:r>
    </w:p>
    <w:p>
      <w:r>
        <w:t>CRM e social restano non ora non per scarsa rilevanza — al contrario, sono le leve naturali per trattenere coppie e famiglie già acquisite — ma perché mancano oggi i dati minimi per decidere come investirci: non risulta un censimento di eventuali strumenti di raccolta contatti o loyalty già in uso, né una fotografia dello stato reale dei canali social. Il passo che sblocca questi due canali è quindi un censimento interno, non una campagna: una volta chiaro cosa esiste già, questi due canali passano prioritari nel ciclo successivo.</w:t>
      </w:r>
    </w:p>
    <w:p>
      <w:r>
        <w:t>L'AEO resta condizionato per un motivo tecnico preciso: due assistenti su tre non sono stati misurabili per un problema di accesso, quindi il verdetto di assenza su quei canali non è affidabile e non va usato per decidere. L'azione utile ora non è produrre contenuti mirati per l'AI, ma rafforzare i prerequisiti che servono comunque — dati strutturati sulla tipologia di struttura e servizi, contenuti factual coerenti — e ripetere l'audit con strumentazione funzionante prima di allocare risorse dedicate.</w:t>
      </w:r>
    </w:p>
    <w:p>
      <w:pPr>
        <w:spacing w:before="160" w:after="40"/>
      </w:pPr>
      <w:r>
        <w:rPr>
          <w:b/>
          <w:color w:val="2F5D62"/>
          <w:sz w:val="24"/>
        </w:rPr>
        <w:t>KPI</w:t>
      </w:r>
    </w:p>
    <w:p>
      <w:r>
        <w:t>I KPI numerici di controllo per ciascun canale sono raccolti in sez. 06; qui si richiama solo la natura del controllo: per SEO e local, posizionamento e copertura delle query di gap; per metasearch e booking engine, esito delle verifiche propedeutiche prima di ogni target di conversione; per OTA, tenuta dei punteggi di piattaforma; per CRM/social e AEO, completamento dei censimenti/audit come condizione di sblocco.</w:t>
      </w:r>
    </w:p>
    <w:p>
      <w:pPr>
        <w:spacing w:before="160" w:after="40"/>
      </w:pPr>
      <w:r>
        <w:rPr>
          <w:b/>
          <w:color w:val="2F5D62"/>
          <w:sz w:val="24"/>
        </w:rPr>
        <w:t>Note esecutive</w:t>
      </w:r>
    </w:p>
    <w:p>
      <w:pPr>
        <w:pStyle w:val="ListBullet"/>
      </w:pPr>
      <w:r>
        <w:t>L'ordine di intervento segue le dipendenze della matrice: prima gli asset senza condizioni (SEO, local), poi le verifiche di sblocco (parity, booking engine, censimento CRM/social, riaudit AEO), poi l'allocazione incrementale sui canali condizionati una volta risolte le dipendenze.</w:t>
      </w:r>
    </w:p>
    <w:p>
      <w:pPr>
        <w:pStyle w:val="ListBullet"/>
      </w:pPr>
      <w:r>
        <w:t>Le metriche tariffarie e di rendimento restano di competenza della struttura: questo piano non tocca prezzi e listini se non come vetrina nei contenuti e nelle schede.</w:t>
      </w:r>
    </w:p>
    <w:p>
      <w:pPr>
        <w:pStyle w:val="ListBullet"/>
      </w:pPr>
      <w:r>
        <w:t>Il cantiere sui contenuti organici va programmato nella finestra di chiusura stagionale, coerentemente con la disponibilità operativa della struttura nel periodo di apertura.</w:t>
      </w:r>
    </w:p>
    <w:p>
      <w:r>
        <w:br w:type="page"/>
      </w:r>
    </w:p>
    <w:p>
      <w:pPr>
        <w:spacing w:after="0"/>
      </w:pPr>
      <w:r>
        <w:rPr>
          <w:b/>
          <w:color w:val="2F5D62"/>
          <w:sz w:val="18"/>
        </w:rPr>
        <w:t>SEZIONE 04</w:t>
      </w:r>
    </w:p>
    <w:p>
      <w:pPr>
        <w:spacing w:after="200"/>
        <w:pBdr>
          <w:bottom w:val="single" w:sz="18" w:space="6" w:color="2F5D62"/>
        </w:pBdr>
      </w:pPr>
      <w:r>
        <w:rPr>
          <w:b/>
          <w:color w:val="1A1A2E"/>
          <w:sz w:val="40"/>
        </w:rPr>
        <w:t>Distribuzione &amp; mercati</w:t>
      </w:r>
    </w:p>
    <w:p>
      <w:r>
        <w:t>Per un albergo stagionale come la Baia Imperiale i portali non sono un problema da correggere ma la sala d'attesa dove il mercato estero e una parte importante di quello italiano formano la propria scelta mesi prima dell'arrivo: il compito di questa sezione è governare quella sala d'attesa - listing, mercati presidiati, canale tedesco - lasciando alla sezione 03 la regia sul mix complessivo dei canali e alla sezione 06 la lettura puntuale dei KPI. La priorità immediata è duplice: portare a qualità uniforme le schede sui portali dove oggi il giudizio è più tiepido, e dare al mercato di lingua tedesca - già favorevole nel merito - la visibilità di volume che ancora non ha.</w:t>
      </w:r>
    </w:p>
    <w:p>
      <w:pPr>
        <w:spacing w:before="160" w:after="40"/>
      </w:pPr>
      <w:r>
        <w:rPr>
          <w:b/>
          <w:color w:val="2F5D62"/>
          <w:sz w:val="24"/>
        </w:rPr>
        <w:t>Obiettivi misurabili</w:t>
      </w:r>
    </w:p>
    <w:p>
      <w:pPr>
        <w:pStyle w:val="ListBullet"/>
      </w:pPr>
      <w:r>
        <w:t>Allineare qualità e completezza delle schede su tutti i portali attivi entro la chiusura stagionale, con priorità a quelli dove il giudizio sul rapporto qualità-prezzo è sotto la media di zona (v. sez. 06)</w:t>
      </w:r>
    </w:p>
    <w:p>
      <w:pPr>
        <w:pStyle w:val="ListBullet"/>
      </w:pPr>
      <w:r>
        <w:t>Aumentare il volume di recensioni in lingua tedesca sul portale di riferimento del mercato DACH: obiettivo di processo (misurare la baseline reale e fissare un incremento con il cliente, non un numero stimato qui)</w:t>
      </w:r>
    </w:p>
    <w:p>
      <w:pPr>
        <w:pStyle w:val="ListBullet"/>
      </w:pPr>
      <w:r>
        <w:t>Impostare la raccolta dati su rate parity diretto/OTA sui metasearch prima di qualunque investimento di spinta al diretto (oggi input mancante, v. sez. 08)</w:t>
      </w:r>
    </w:p>
    <w:p>
      <w:pPr>
        <w:spacing w:before="160" w:after="40"/>
      </w:pPr>
      <w:r>
        <w:rPr>
          <w:b/>
          <w:color w:val="2F5D62"/>
          <w:sz w:val="24"/>
        </w:rPr>
        <w:t>Azioni</w:t>
      </w:r>
    </w:p>
    <w:p>
      <w:r>
        <w:t>Il mix lingua delle recensioni Booking mostra un pubblico a larghissima prevalenza italiana e tedesca, con inglese e francese presenze minori ma non trascurabili: questa è la mappa dei mercati reali su cui calibrare listing e comunicazione sui portali, non un elenco di mercati potenziali da inseguire. La conseguenza operativa è che i contenuti delle schede - titoli, descrizioni, risposte alle recensioni - vanno mantenuti solidi in italiano e tedesco come priorità assoluta, con inglese come terza lingua di servizio; francese, russo, spagnolo e polacco restano marginali e non giustificano oggi un investimento dedicato di localizzazione.</w:t>
      </w:r>
    </w:p>
    <w:p>
      <w:r>
        <w:t>Il giudizio del mercato tedesco sul portale di riferimento DACH è già favorevole nel merito (v. sez. 01), ma il volume di valutazioni resta contenuto rispetto al peso che quel mercato ha nel mix linguistico complessivo: chi cerca conferme sociali in tedesco ne trova poche rispetto a quante potrebbe aspettarsene un hotel con questa proporzione di ospiti di lingua tedesca. Va quindi attivata una raccolta sistematica di recensioni post-soggiorno segmentata per lingua, con un invito in tedesco a chi ha soggiornato e proviene da quell'area linguistica, e una verifica che la scheda su quel portale sia completa (foto, descrizione servizi, risposte del gestore) allo stesso livello delle schede su Booking e TripAdvisor.</w:t>
      </w:r>
    </w:p>
    <w:p>
      <w:r>
        <w:t>Sulle altre piattaforme intermediarie il quadro presenta un'anomalia puntuale: il rapporto qualità-prezzo e la voce servizi risultano sotto la media di zona proprio nel canale a maggior peso prenotativo, mentre la posizione fronte mare - un USP forte e confermato testualmente - non ottiene lo stesso riconoscimento nel punteggio strutturato dedicato. Poiché il differenziale non riguarda il prodotto ma la sua rappresentazione sulla scheda, l'azione è editoriale e fotografica: aggiornare foto e descrizione della posizione (distanza mare, accesso diretto alla spiaggia, vicinanza al Borgo San Giuliano) e rivedere la descrizione dei servizi in modo che rifletta gli aggiornamenti già presenti in struttura, senza intervenire su alcun elemento tariffario.</w:t>
      </w:r>
    </w:p>
    <w:p>
      <w:r>
        <w:t>Sull'effetto vetrina dei portali - utile per la scopribilità ma per sua natura non misurabile in modo affidabile - la scelta è di non sovrastimarlo: i portali restano il canale di ingresso per chi non conosce ancora la struttura, specialmente nei mercati esteri con finestre di prenotazione lunghe, mentre il presidio del diretto (v. sez. 03) si concentra su chi la struttura la conosce già. Prima di qualunque campagna di spinta al diretto verso gli ospiti esteri, va colmato il vuoto informativo su parity e frizioni del motore di prenotazione: procedere con una verifica tecnica puntuale (tempi di caricamento, passaggi del funnel, coerenza dei prezzi tra sito e metasearch) come prerequisito, non come azione parallela.</w:t>
      </w:r>
    </w:p>
    <w:p>
      <w:pPr>
        <w:spacing w:before="160" w:after="40"/>
      </w:pPr>
      <w:r>
        <w:rPr>
          <w:b/>
          <w:color w:val="2F5D62"/>
          <w:sz w:val="24"/>
        </w:rPr>
        <w:t>KPI</w:t>
      </w:r>
    </w:p>
    <w:p>
      <w:r>
        <w:t>Il cruscotto numerico di riferimento per mercati e distribuzione è consolidato in sezione 06; qui si richiamano solo i processi di misurazione da attivare: completezza e uniformità delle schede su tutti i portali attivi, volume e passo di crescita delle recensioni in lingua tedesca, verifica di parity diretto/OTA sui metasearch.</w:t>
      </w:r>
    </w:p>
    <w:p>
      <w:pPr>
        <w:spacing w:before="160" w:after="40"/>
      </w:pPr>
      <w:r>
        <w:rPr>
          <w:b/>
          <w:color w:val="2F5D62"/>
          <w:sz w:val="24"/>
        </w:rPr>
        <w:t>Note esecutive</w:t>
      </w:r>
    </w:p>
    <w:p>
      <w:pPr>
        <w:pStyle w:val="ListBullet"/>
      </w:pPr>
      <w:r>
        <w:t>Nessuna azione di questa sezione tocca prezzi o listini: il confronto tariffario tra portali e diretto resta di competenza della struttura</w:t>
      </w:r>
    </w:p>
    <w:p>
      <w:pPr>
        <w:pStyle w:val="ListBullet"/>
      </w:pPr>
      <w:r>
        <w:t>La priorità tedesca è coerente con il peso reale del mercato nel mix recensioni Booking; non introdurre altri mercati esteri come prioritari senza un'evidenza equivalente</w:t>
      </w:r>
    </w:p>
    <w:p>
      <w:pPr>
        <w:pStyle w:val="ListBullet"/>
      </w:pPr>
      <w:r>
        <w:t>L'audit tecnico su parity e motore di prenotazione è un prerequisito da completare prima di dimensionare qualunque budget di spinta al diretto verso l'estero (v. sez. 08 per l'input mancante)</w:t>
      </w:r>
    </w:p>
    <w:p>
      <w:r>
        <w:br w:type="page"/>
      </w:r>
    </w:p>
    <w:p>
      <w:pPr>
        <w:spacing w:after="0"/>
      </w:pPr>
      <w:r>
        <w:rPr>
          <w:b/>
          <w:color w:val="2F5D62"/>
          <w:sz w:val="18"/>
        </w:rPr>
        <w:t>SEZIONE 05</w:t>
      </w:r>
    </w:p>
    <w:p>
      <w:pPr>
        <w:spacing w:after="200"/>
        <w:pBdr>
          <w:bottom w:val="single" w:sz="18" w:space="6" w:color="2F5D62"/>
        </w:pBdr>
      </w:pPr>
      <w:r>
        <w:rPr>
          <w:b/>
          <w:color w:val="1A1A2E"/>
          <w:sz w:val="40"/>
        </w:rPr>
        <w:t>Roadmap 12 mesi</w:t>
      </w:r>
    </w:p>
    <w:p>
      <w:pPr>
        <w:spacing w:before="160" w:after="40"/>
      </w:pPr>
      <w:r>
        <w:rPr>
          <w:b/>
          <w:color w:val="2F5D62"/>
          <w:sz w:val="24"/>
        </w:rPr>
        <w:t>Vincoli operativi della roadmap (decision record)</w:t>
      </w:r>
    </w:p>
    <w:p>
      <w:r>
        <w:t>Archetipo operativo: annuale con quota fiere/business. Mesi di apertura: gen, feb, mar, apr, mag, giu, lug, ago, set, ott, nov, dic.</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Vincolo</w:t>
            </w:r>
          </w:p>
        </w:tc>
        <w:tc>
          <w:tcPr>
            <w:tcW w:type="dxa" w:w="2880"/>
            <w:shd w:val="clear" w:color="auto" w:fill="2F5D62"/>
          </w:tcPr>
          <w:p>
            <w:r>
              <w:rPr>
                <w:b/>
                <w:color w:val="FFFFFF"/>
                <w:sz w:val="19"/>
              </w:rPr>
              <w:t>Quando</w:t>
            </w:r>
          </w:p>
        </w:tc>
        <w:tc>
          <w:tcPr>
            <w:tcW w:type="dxa" w:w="2880"/>
            <w:shd w:val="clear" w:color="auto" w:fill="2F5D62"/>
          </w:tcPr>
          <w:p>
            <w:r>
              <w:rPr>
                <w:b/>
                <w:color w:val="FFFFFF"/>
                <w:sz w:val="19"/>
              </w:rPr>
              <w:t>Perché</w:t>
            </w:r>
          </w:p>
        </w:tc>
      </w:tr>
      <w:tr>
        <w:tc>
          <w:tcPr>
            <w:tcW w:type="dxa" w:w="2880"/>
          </w:tcPr>
          <w:p>
            <w:r>
              <w:rPr>
                <w:sz w:val="19"/>
              </w:rPr>
              <w:t>Chiusura listino/pacchetti</w:t>
            </w:r>
          </w:p>
        </w:tc>
        <w:tc>
          <w:tcPr>
            <w:tcW w:type="dxa" w:w="2880"/>
          </w:tcPr>
          <w:p>
            <w:r>
              <w:rPr>
                <w:sz w:val="19"/>
              </w:rPr>
              <w:t>nov</w:t>
            </w:r>
          </w:p>
        </w:tc>
        <w:tc>
          <w:tcPr>
            <w:tcW w:type="dxa" w:w="2880"/>
          </w:tcPr>
          <w:p>
            <w:r>
              <w:rPr>
                <w:sz w:val="19"/>
              </w:rPr>
              <w:t>vendite prenotabili prima dell'apertura delle finestre di mercato</w:t>
            </w:r>
          </w:p>
        </w:tc>
      </w:tr>
      <w:tr>
        <w:tc>
          <w:tcPr>
            <w:tcW w:type="dxa" w:w="2880"/>
            <w:shd w:val="clear" w:color="auto" w:fill="EEF2F1"/>
          </w:tcPr>
          <w:p>
            <w:r>
              <w:rPr>
                <w:sz w:val="19"/>
              </w:rPr>
              <w:t>Apertura vendite per mercato</w:t>
            </w:r>
          </w:p>
        </w:tc>
        <w:tc>
          <w:tcPr>
            <w:tcW w:type="dxa" w:w="2880"/>
            <w:shd w:val="clear" w:color="auto" w:fill="EEF2F1"/>
          </w:tcPr>
          <w:p>
            <w:r>
              <w:rPr>
                <w:sz w:val="19"/>
              </w:rPr>
              <w:t>DE gen; IT_estate gen; UK nov</w:t>
            </w:r>
          </w:p>
        </w:tc>
        <w:tc>
          <w:tcPr>
            <w:tcW w:type="dxa" w:w="2880"/>
            <w:shd w:val="clear" w:color="auto" w:fill="EEF2F1"/>
          </w:tcPr>
          <w:p>
            <w:r>
              <w:rPr>
                <w:sz w:val="19"/>
              </w:rPr>
              <w:t>anticipo derivato dalle finestre di prenotazione</w:t>
            </w:r>
          </w:p>
        </w:tc>
      </w:tr>
      <w:tr>
        <w:tc>
          <w:tcPr>
            <w:tcW w:type="dxa" w:w="2880"/>
          </w:tcPr>
          <w:p>
            <w:r>
              <w:rPr>
                <w:sz w:val="19"/>
              </w:rPr>
              <w:t>Sprint nei mesi morbidi</w:t>
            </w:r>
          </w:p>
        </w:tc>
        <w:tc>
          <w:tcPr>
            <w:tcW w:type="dxa" w:w="2880"/>
          </w:tcPr>
          <w:p>
            <w:r>
              <w:rPr>
                <w:sz w:val="19"/>
              </w:rPr>
              <w:t>gen, feb, nov, dic</w:t>
            </w:r>
          </w:p>
        </w:tc>
        <w:tc>
          <w:tcPr>
            <w:tcW w:type="dxa" w:w="2880"/>
          </w:tcPr>
          <w:p>
            <w:r>
              <w:rPr>
                <w:sz w:val="19"/>
              </w:rPr>
              <w:t>l'annuale non ha cantiere di chiusura: lavori a rotazione</w:t>
            </w:r>
          </w:p>
        </w:tc>
      </w:tr>
      <w:tr>
        <w:tc>
          <w:tcPr>
            <w:tcW w:type="dxa" w:w="2880"/>
            <w:shd w:val="clear" w:color="auto" w:fill="EEF2F1"/>
          </w:tcPr>
          <w:p>
            <w:r>
              <w:rPr>
                <w:sz w:val="19"/>
              </w:rPr>
              <w:t>Piano presenza fiere</w:t>
            </w:r>
          </w:p>
        </w:tc>
        <w:tc>
          <w:tcPr>
            <w:tcW w:type="dxa" w:w="2880"/>
            <w:shd w:val="clear" w:color="auto" w:fill="EEF2F1"/>
          </w:tcPr>
          <w:p>
            <w:r>
              <w:rPr>
                <w:sz w:val="19"/>
              </w:rPr>
              <w:t>RiminiWellness, World Ducati Week, Meeting di Rimini, Tecna, TTG/SIA/SUN, Ecomondo, IBE, SIGEP, Beer&amp;Food Attraction, KEY</w:t>
            </w:r>
          </w:p>
        </w:tc>
        <w:tc>
          <w:tcPr>
            <w:tcW w:type="dxa" w:w="2880"/>
            <w:shd w:val="clear" w:color="auto" w:fill="EEF2F1"/>
          </w:tcPr>
          <w:p>
            <w:r>
              <w:rPr>
                <w:sz w:val="19"/>
              </w:rPr>
              <w:t>una pagina/offerta per fiera, con navetta e convenzioni</w:t>
            </w:r>
          </w:p>
        </w:tc>
      </w:tr>
      <w:tr>
        <w:tc>
          <w:tcPr>
            <w:tcW w:type="dxa" w:w="2880"/>
          </w:tcPr>
          <w:p>
            <w:r>
              <w:rPr>
                <w:sz w:val="19"/>
              </w:rPr>
              <w:t>Picchi evento di destinazione</w:t>
            </w:r>
          </w:p>
        </w:tc>
        <w:tc>
          <w:tcPr>
            <w:tcW w:type="dxa" w:w="2880"/>
          </w:tcPr>
          <w:p>
            <w:r>
              <w:rPr>
                <w:sz w:val="19"/>
              </w:rPr>
              <w:t>Notte Rosa (2026-06-19)</w:t>
            </w:r>
          </w:p>
        </w:tc>
        <w:tc>
          <w:tcPr>
            <w:tcW w:type="dxa" w:w="2880"/>
          </w:tcPr>
          <w:p>
            <w:r>
              <w:rPr>
                <w:sz w:val="19"/>
              </w:rPr>
              <w:t>picchi di domanda weekend da nominare nella roadmap</w:t>
            </w:r>
          </w:p>
        </w:tc>
      </w:tr>
      <w:tr>
        <w:tc>
          <w:tcPr>
            <w:tcW w:type="dxa" w:w="2880"/>
            <w:shd w:val="clear" w:color="auto" w:fill="EEF2F1"/>
          </w:tcPr>
          <w:p>
            <w:r>
              <w:rPr>
                <w:sz w:val="19"/>
              </w:rPr>
              <w:t>Festività e ponti (fuori picco)</w:t>
            </w:r>
          </w:p>
        </w:tc>
        <w:tc>
          <w:tcPr>
            <w:tcW w:type="dxa" w:w="2880"/>
            <w:shd w:val="clear" w:color="auto" w:fill="EEF2F1"/>
          </w:tcPr>
          <w:p>
            <w:r>
              <w:rPr>
                <w:sz w:val="19"/>
              </w:rPr>
              <w:t>Ognissanti, Immacolata (ponte), Natale (weekend lungo), Santo Stefano, Capodanno (weekend lungo), Epifania, Pasqua, Pasquetta (weekend lungo), Liberazione, Festa del Lavoro, Festa della Repubblica</w:t>
            </w:r>
          </w:p>
        </w:tc>
        <w:tc>
          <w:tcPr>
            <w:tcW w:type="dxa" w:w="2880"/>
            <w:shd w:val="clear" w:color="auto" w:fill="EEF2F1"/>
          </w:tcPr>
          <w:p>
            <w:r>
              <w:rPr>
                <w:sz w:val="19"/>
              </w:rPr>
              <w:t>momenti-prodotto di bassa/media stagione: pacchetti dedicati; i ponti sono meteo-dipendenti, a finestra corta</w:t>
            </w:r>
          </w:p>
        </w:tc>
      </w:tr>
      <w:tr>
        <w:tc>
          <w:tcPr>
            <w:tcW w:type="dxa" w:w="2880"/>
          </w:tcPr>
          <w:p>
            <w:r>
              <w:rPr>
                <w:sz w:val="19"/>
              </w:rPr>
              <w:t>Prodotto di bassa stagione</w:t>
            </w:r>
          </w:p>
        </w:tc>
        <w:tc>
          <w:tcPr>
            <w:tcW w:type="dxa" w:w="2880"/>
          </w:tcPr>
          <w:p>
            <w:r>
              <w:rPr>
                <w:sz w:val="19"/>
              </w:rPr>
              <w:t>pacchetti benessere e festività</w:t>
            </w:r>
          </w:p>
        </w:tc>
        <w:tc>
          <w:tcPr>
            <w:tcW w:type="dxa" w:w="2880"/>
          </w:tcPr>
          <w:p>
            <w:r>
              <w:rPr>
                <w:sz w:val="19"/>
              </w:rPr>
              <w:t>spa/piscina riscaldata: il prodotto che riempie l'inverno</w:t>
            </w:r>
          </w:p>
        </w:tc>
      </w:tr>
    </w:tbl>
    <w:p>
      <w:pPr>
        <w:spacing w:after="160"/>
      </w:pPr>
    </w:p>
    <w:p>
      <w:pPr>
        <w:spacing w:before="160" w:after="40"/>
      </w:pPr>
      <w:r>
        <w:rPr>
          <w:b/>
          <w:color w:val="2F5D62"/>
          <w:sz w:val="24"/>
        </w:rPr>
        <w:t>Finestre di campagna per segmento (ancorate al picco reale)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Segmento</w:t>
            </w:r>
          </w:p>
        </w:tc>
        <w:tc>
          <w:tcPr>
            <w:tcW w:type="dxa" w:w="2160"/>
            <w:shd w:val="clear" w:color="auto" w:fill="2F5D62"/>
          </w:tcPr>
          <w:p>
            <w:r>
              <w:rPr>
                <w:b/>
                <w:color w:val="FFFFFF"/>
                <w:sz w:val="19"/>
              </w:rPr>
              <w:t>Avvio campagna</w:t>
            </w:r>
          </w:p>
        </w:tc>
        <w:tc>
          <w:tcPr>
            <w:tcW w:type="dxa" w:w="2160"/>
            <w:shd w:val="clear" w:color="auto" w:fill="2F5D62"/>
          </w:tcPr>
          <w:p>
            <w:r>
              <w:rPr>
                <w:b/>
                <w:color w:val="FFFFFF"/>
                <w:sz w:val="19"/>
              </w:rPr>
              <w:t>Mese di picco</w:t>
            </w:r>
          </w:p>
        </w:tc>
        <w:tc>
          <w:tcPr>
            <w:tcW w:type="dxa" w:w="2160"/>
            <w:shd w:val="clear" w:color="auto" w:fill="2F5D62"/>
          </w:tcPr>
          <w:p>
            <w:r>
              <w:rPr>
                <w:b/>
                <w:color w:val="FFFFFF"/>
                <w:sz w:val="19"/>
              </w:rPr>
              <w:t>Anticipo (mesi)</w:t>
            </w:r>
          </w:p>
        </w:tc>
      </w:tr>
      <w:tr>
        <w:tc>
          <w:tcPr>
            <w:tcW w:type="dxa" w:w="2160"/>
          </w:tcPr>
          <w:p>
            <w:r>
              <w:rPr>
                <w:sz w:val="19"/>
              </w:rPr>
              <w:t>Famiglie</w:t>
            </w:r>
          </w:p>
        </w:tc>
        <w:tc>
          <w:tcPr>
            <w:tcW w:type="dxa" w:w="2160"/>
          </w:tcPr>
          <w:p>
            <w:r>
              <w:rPr>
                <w:sz w:val="19"/>
              </w:rPr>
              <w:t>mar</w:t>
            </w:r>
          </w:p>
        </w:tc>
        <w:tc>
          <w:tcPr>
            <w:tcW w:type="dxa" w:w="2160"/>
          </w:tcPr>
          <w:p>
            <w:r>
              <w:rPr>
                <w:sz w:val="19"/>
              </w:rPr>
              <w:t>giu</w:t>
            </w:r>
          </w:p>
        </w:tc>
        <w:tc>
          <w:tcPr>
            <w:tcW w:type="dxa" w:w="2160"/>
          </w:tcPr>
          <w:p>
            <w:r>
              <w:rPr>
                <w:sz w:val="19"/>
              </w:rPr>
              <w:t>3</w:t>
            </w:r>
          </w:p>
        </w:tc>
      </w:tr>
      <w:tr>
        <w:tc>
          <w:tcPr>
            <w:tcW w:type="dxa" w:w="2160"/>
            <w:shd w:val="clear" w:color="auto" w:fill="EEF2F1"/>
          </w:tcPr>
          <w:p>
            <w:r>
              <w:rPr>
                <w:sz w:val="19"/>
              </w:rPr>
              <w:t>Coppie</w:t>
            </w:r>
          </w:p>
        </w:tc>
        <w:tc>
          <w:tcPr>
            <w:tcW w:type="dxa" w:w="2160"/>
            <w:shd w:val="clear" w:color="auto" w:fill="EEF2F1"/>
          </w:tcPr>
          <w:p>
            <w:r>
              <w:rPr>
                <w:sz w:val="19"/>
              </w:rPr>
              <w:t>apr</w:t>
            </w:r>
          </w:p>
        </w:tc>
        <w:tc>
          <w:tcPr>
            <w:tcW w:type="dxa" w:w="2160"/>
            <w:shd w:val="clear" w:color="auto" w:fill="EEF2F1"/>
          </w:tcPr>
          <w:p>
            <w:r>
              <w:rPr>
                <w:sz w:val="19"/>
              </w:rPr>
              <w:t>giu</w:t>
            </w:r>
          </w:p>
        </w:tc>
        <w:tc>
          <w:tcPr>
            <w:tcW w:type="dxa" w:w="2160"/>
            <w:shd w:val="clear" w:color="auto" w:fill="EEF2F1"/>
          </w:tcPr>
          <w:p>
            <w:r>
              <w:rPr>
                <w:sz w:val="19"/>
              </w:rPr>
              <w:t>2</w:t>
            </w:r>
          </w:p>
        </w:tc>
      </w:tr>
      <w:tr>
        <w:tc>
          <w:tcPr>
            <w:tcW w:type="dxa" w:w="2160"/>
          </w:tcPr>
          <w:p>
            <w:r>
              <w:rPr>
                <w:sz w:val="19"/>
              </w:rPr>
              <w:t>DACH</w:t>
            </w:r>
          </w:p>
        </w:tc>
        <w:tc>
          <w:tcPr>
            <w:tcW w:type="dxa" w:w="2160"/>
          </w:tcPr>
          <w:p>
            <w:r>
              <w:rPr>
                <w:sz w:val="19"/>
              </w:rPr>
              <w:t>gen</w:t>
            </w:r>
          </w:p>
        </w:tc>
        <w:tc>
          <w:tcPr>
            <w:tcW w:type="dxa" w:w="2160"/>
          </w:tcPr>
          <w:p>
            <w:r>
              <w:rPr>
                <w:sz w:val="19"/>
              </w:rPr>
              <w:t>giu</w:t>
            </w:r>
          </w:p>
        </w:tc>
        <w:tc>
          <w:tcPr>
            <w:tcW w:type="dxa" w:w="2160"/>
          </w:tcPr>
          <w:p>
            <w:r>
              <w:rPr>
                <w:sz w:val="19"/>
              </w:rPr>
              <w:t>5</w:t>
            </w:r>
          </w:p>
        </w:tc>
      </w:tr>
    </w:tbl>
    <w:p>
      <w:pPr>
        <w:spacing w:after="160"/>
      </w:pPr>
    </w:p>
    <w:p>
      <w:r>
        <w:t>Hotel Baia Imperiale è una struttura stagionale: l'apertura copre la stagione balneare, con chiusura nei mesi invernali (i mesi esatti di apertura/chiusura non sono dichiarati nel brief e vanno confermati con la proprietà — assunzione da validare, v. sez. 08). Questo significa che il cantiere tecnico e di contenuto — dati strutturati, pagina SPA, pagina business, ottimizzazione keyword generaliste — va completato interamente nei mesi di chiusura, mai in stagione, e che la raccolta di materiale fotografico e video (piscina, terrazza, spiaggia, colazione) si fa invece ad hotel aperto, perché una struttura chiusa non è fotografabile. Il listino e i pacchetti (famiglia, coppia/SPA) devono risultare prenotabili PRIMA che si apra la domanda dei mercati esteri, che prenota con largo anticipo rispetto all'italiano: la finestra tedesca in particolare precede quella italiana di mesi. La fiera e il Palacongressi restano fuori dal perimetro operativo per gran parte dell'anno, salvo le manifestazioni che cadono nei mesi estivi di apertura, che vanno presidiate come eccezione e non come regola.</w:t>
      </w:r>
    </w:p>
    <w:p>
      <w:pPr>
        <w:spacing w:before="160" w:after="40"/>
      </w:pPr>
      <w:r>
        <w:rPr>
          <w:b/>
          <w:color w:val="2F5D62"/>
          <w:sz w:val="24"/>
        </w:rPr>
        <w:t>Obiettivi misurabili</w:t>
      </w:r>
    </w:p>
    <w:p>
      <w:pPr>
        <w:pStyle w:val="ListBullet"/>
      </w:pPr>
      <w:r>
        <w:t>Chiudere il cantiere tecnico-contenutistico (dati strutturati, pagina SPA, pagina business, presidio keyword generaliste) entro la fine del periodo di chiusura, prima della riapertura</w:t>
      </w:r>
    </w:p>
    <w:p>
      <w:pPr>
        <w:pStyle w:val="ListBullet"/>
      </w:pPr>
      <w:r>
        <w:t>Completare la raccolta di materiale fotografico/video aggiornato (piscina, terrazza, spiaggia, colazione, camere) nella prima parte della stagione aperta, in vista della programmazione dell'anno successivo</w:t>
      </w:r>
    </w:p>
    <w:p>
      <w:pPr>
        <w:pStyle w:val="ListBullet"/>
      </w:pPr>
      <w:r>
        <w:t>Aprire il listino e i pacchetti famiglia/coppia in tempo utile rispetto alla finestra di prenotazione del mercato tedesco, prima ancora di quella italiana</w:t>
      </w:r>
    </w:p>
    <w:p>
      <w:pPr>
        <w:pStyle w:val="ListBullet"/>
      </w:pPr>
      <w:r>
        <w:t>Attivare la comunicazione di riapertura verso gli ospiti abituali con anticipo sufficiente a precedere la concorrenza (obiettivo di processo: la data di invio va fissata sul calendario reale di riapertura)</w:t>
      </w:r>
    </w:p>
    <w:p>
      <w:pPr>
        <w:pStyle w:val="ListBullet"/>
      </w:pPr>
      <w:r>
        <w:t>Presidiare le eventuali fiere/manifestazioni che cadono nei mesi di apertura con una pagina e un'offerta dedicata, senza destinare budget al B2B fieristico nei mesi di chiusura</w:t>
      </w:r>
    </w:p>
    <w:p>
      <w:pPr>
        <w:spacing w:before="160" w:after="40"/>
      </w:pPr>
      <w:r>
        <w:rPr>
          <w:b/>
          <w:color w:val="2F5D62"/>
          <w:sz w:val="24"/>
        </w:rPr>
        <w:t>Azioni</w:t>
      </w:r>
    </w:p>
    <w:p>
      <w:r>
        <w:t>La sequenza dei prossimi dodici mesi segue la logica stagionale già impostata in sez. 03: chiusura come cantiere, apertura come vetrina e raccolta materiale, code di prenotazione ravvicinata sulle date calde. Nei mesi di chiusura si concentra tutto il lavoro che in stagione è impossibile per mancanza di tempo del personale: implementazione dei dati strutturati Hotel/LodgingBusiness (oggi assenti), pubblicazione della pagina SPA con contenuti factual (orari, fasce gratuite, percorso a pagamento) e della pagina business potenziata (distanza da Fiera/Palacongressi, parcheggio, wifi, fattura), presidio delle keyword generaliste ad alto volume individuate in sez. 03. In questa stessa finestra si prepara e si chiude il listino con i pacchetti famiglia e coppia/benessere, corredati dal lessico di prodotto (formula, spiaggia inclusa, book early), in modo che risultino prenotabili prima dell'apertura della domanda tedesca e, a seguire, di quella italiana. Sempre nei mesi di chiusura parte la comunicazione di riapertura verso gli ospiti già acquisiti — data di riapertura in evidenza, invito a prenotare in anticipo — perché chi teme di non trovare disponibilità prenota altrove: è la leva più economica per proteggere la quota diretta prima di aprire budget su canali a pagamento. Con la riapertura della struttura si avvia la raccolta sistematica di materiale fotografico e video aggiornato su piscina, terrazza panoramica, spiaggia e colazione, da impiegare nella programmazione dell'anno successivo; in parallelo restano attive le repliche alle recensioni e la comunicazione social "dal campo", mentre le eventuali fiere che cadono nei mesi estivi vengono coperte con pagina e offerta dedicate. Nella parte centrale e finale della stagione si presidia la domanda a ridosso delle date (ricerca e metasearch sulle settimane calde), mentre il cantiere tecnico resta sospeso fino alla chiusura successiva, quando il ciclo ricomincia con la verifica dei risultati e l'aggiornamento del piano keyword.</w:t>
      </w:r>
    </w:p>
    <w:p>
      <w:pPr>
        <w:spacing w:before="160" w:after="40"/>
      </w:pPr>
      <w:r>
        <w:rPr>
          <w:b/>
          <w:color w:val="2F5D62"/>
          <w:sz w:val="24"/>
        </w:rPr>
        <w:t>KPI</w:t>
      </w:r>
    </w:p>
    <w:p>
      <w:pPr>
        <w:pStyle w:val="ListBullet"/>
      </w:pPr>
      <w:r>
        <w:t>V. sez. 06 per l'elenco completo dei KPI di controllo (keyword presidiate, quota diretta, recensioni, canali)</w:t>
      </w:r>
    </w:p>
    <w:p>
      <w:pPr>
        <w:spacing w:before="160" w:after="40"/>
      </w:pPr>
      <w:r>
        <w:rPr>
          <w:b/>
          <w:color w:val="2F5D62"/>
          <w:sz w:val="24"/>
        </w:rPr>
        <w:t>Note esecutive</w:t>
      </w:r>
    </w:p>
    <w:p>
      <w:pPr>
        <w:pStyle w:val="ListBullet"/>
      </w:pPr>
      <w:r>
        <w:t>I mesi esatti di apertura/chiusura della struttura non sono dichiarati nel brief: vanno confermati con la proprietà prima di fissare le date operative puntuali del cantiere e degli invii (v. sez. 08)</w:t>
      </w:r>
    </w:p>
    <w:p>
      <w:pPr>
        <w:pStyle w:val="ListBullet"/>
      </w:pPr>
      <w:r>
        <w:t>Il cantiere tecnico-contenutistico non va mai programmato nei mesi di apertura: in quella finestra la struttura è a pieno regime e non ha margine per progetti</w:t>
      </w:r>
    </w:p>
    <w:p>
      <w:pPr>
        <w:pStyle w:val="ListBullet"/>
      </w:pPr>
      <w:r>
        <w:t>La raccolta di materiale fotografico/video va pianificata a inizio stagione aperta, quando il prodotto è nella sua condizione migliore da documentare</w:t>
      </w:r>
    </w:p>
    <w:p>
      <w:pPr>
        <w:pStyle w:val="ListBullet"/>
      </w:pPr>
      <w:r>
        <w:t>Le date specifiche di eventuali fiere/manifestazioni estive vanno acquisite dal calendario locale: non sono presenti nei dati diagnostici disponibili</w:t>
      </w:r>
    </w:p>
    <w:p>
      <w:pPr>
        <w:pStyle w:val="ListBullet"/>
      </w:pPr>
      <w:r>
        <w:t>L'invio della comunicazione di riapertura va calendarizzato con anticipo sui tempi di prenotazione del mercato tedesco, che precede quello italiano</w:t>
      </w:r>
    </w:p>
    <w:p>
      <w:r>
        <w:br w:type="page"/>
      </w:r>
    </w:p>
    <w:p>
      <w:pPr>
        <w:spacing w:after="0"/>
      </w:pPr>
      <w:r>
        <w:rPr>
          <w:b/>
          <w:color w:val="2F5D62"/>
          <w:sz w:val="18"/>
        </w:rPr>
        <w:t>SEZIONE 06</w:t>
      </w:r>
    </w:p>
    <w:p>
      <w:pPr>
        <w:spacing w:after="200"/>
        <w:pBdr>
          <w:bottom w:val="single" w:sz="18" w:space="6" w:color="2F5D62"/>
        </w:pBdr>
      </w:pPr>
      <w:r>
        <w:rPr>
          <w:b/>
          <w:color w:val="1A1A2E"/>
          <w:sz w:val="40"/>
        </w:rPr>
        <w:t>Misurazione &amp; governance</w:t>
      </w:r>
    </w:p>
    <w:p>
      <w:pPr>
        <w:spacing w:before="160" w:after="40"/>
      </w:pPr>
      <w:r>
        <w:rPr>
          <w:b/>
          <w:color w:val="2F5D62"/>
          <w:sz w:val="24"/>
        </w:rPr>
        <w:t>KPI nord (baseline → target o obiettivo di processo)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w:t>
            </w:r>
          </w:p>
        </w:tc>
        <w:tc>
          <w:tcPr>
            <w:tcW w:type="dxa" w:w="2160"/>
            <w:shd w:val="clear" w:color="auto" w:fill="2F5D62"/>
          </w:tcPr>
          <w:p>
            <w:r>
              <w:rPr>
                <w:b/>
                <w:color w:val="FFFFFF"/>
                <w:sz w:val="19"/>
              </w:rPr>
              <w:t>Obiettivo di processo</w:t>
            </w:r>
          </w:p>
        </w:tc>
      </w:tr>
      <w:tr>
        <w:tc>
          <w:tcPr>
            <w:tcW w:type="dxa" w:w="2160"/>
          </w:tcPr>
          <w:p>
            <w:r>
              <w:rPr>
                <w:sz w:val="19"/>
              </w:rPr>
              <w:t>Volume recensioni (tutte le piattaforme)</w:t>
            </w:r>
          </w:p>
        </w:tc>
        <w:tc>
          <w:tcPr>
            <w:tcW w:type="dxa" w:w="2160"/>
          </w:tcPr>
          <w:p>
            <w:r>
              <w:rPr>
                <w:sz w:val="19"/>
              </w:rPr>
              <w:t>3400</w:t>
            </w:r>
          </w:p>
        </w:tc>
        <w:tc>
          <w:tcPr>
            <w:tcW w:type="dxa" w:w="2160"/>
          </w:tcPr>
          <w:p>
            <w:r>
              <w:rPr>
                <w:sz w:val="19"/>
              </w:rPr>
              <w:t>3575</w:t>
            </w:r>
          </w:p>
        </w:tc>
        <w:tc>
          <w:tcPr>
            <w:tcW w:type="dxa" w:w="2160"/>
          </w:tcPr>
          <w:p>
            <w:r>
              <w:rPr>
                <w:sz w:val="19"/>
              </w:rPr>
              <w:t>—</w:t>
            </w:r>
          </w:p>
        </w:tc>
      </w:tr>
      <w:tr>
        <w:tc>
          <w:tcPr>
            <w:tcW w:type="dxa" w:w="2160"/>
            <w:shd w:val="clear" w:color="auto" w:fill="EEF2F1"/>
          </w:tcPr>
          <w:p>
            <w:r>
              <w:rPr>
                <w:sz w:val="19"/>
              </w:rPr>
              <w:t>Quota di prenotazione diretta</w:t>
            </w:r>
          </w:p>
        </w:tc>
        <w:tc>
          <w:tcPr>
            <w:tcW w:type="dxa" w:w="2160"/>
            <w:shd w:val="clear" w:color="auto" w:fill="EEF2F1"/>
          </w:tcPr>
          <w:p>
            <w:r>
              <w:rPr>
                <w:sz w:val="19"/>
              </w:rPr>
              <w:t>—</w:t>
            </w:r>
          </w:p>
        </w:tc>
        <w:tc>
          <w:tcPr>
            <w:tcW w:type="dxa" w:w="2160"/>
            <w:shd w:val="clear" w:color="auto" w:fill="EEF2F1"/>
          </w:tcPr>
          <w:p>
            <w:r>
              <w:rPr>
                <w:sz w:val="19"/>
              </w:rPr>
              <w:t>—</w:t>
            </w:r>
          </w:p>
        </w:tc>
        <w:tc>
          <w:tcPr>
            <w:tcW w:type="dxa" w:w="2160"/>
            <w:shd w:val="clear" w:color="auto" w:fill="EEF2F1"/>
          </w:tcPr>
          <w:p>
            <w:r>
              <w:rPr>
                <w:sz w:val="19"/>
              </w:rPr>
              <w:t>Quota diretta reale non tracciata nella diagnosi: misurare la baseline (booking engine/PMS) prima di fissare un obiettivo numerico.</w:t>
            </w:r>
          </w:p>
        </w:tc>
      </w:tr>
      <w:tr>
        <w:tc>
          <w:tcPr>
            <w:tcW w:type="dxa" w:w="2160"/>
          </w:tcPr>
          <w:p>
            <w:r>
              <w:rPr>
                <w:sz w:val="19"/>
              </w:rPr>
              <w:t>Rating aggregato</w:t>
            </w:r>
          </w:p>
        </w:tc>
        <w:tc>
          <w:tcPr>
            <w:tcW w:type="dxa" w:w="2160"/>
          </w:tcPr>
          <w:p>
            <w:r>
              <w:rPr>
                <w:sz w:val="19"/>
              </w:rPr>
              <w:t>4.36</w:t>
            </w:r>
          </w:p>
        </w:tc>
        <w:tc>
          <w:tcPr>
            <w:tcW w:type="dxa" w:w="2160"/>
          </w:tcPr>
          <w:p>
            <w:r>
              <w:rPr>
                <w:sz w:val="19"/>
              </w:rPr>
              <w:t>—</w:t>
            </w:r>
          </w:p>
        </w:tc>
        <w:tc>
          <w:tcPr>
            <w:tcW w:type="dxa" w:w="2160"/>
          </w:tcPr>
          <w:p>
            <w:r>
              <w:rPr>
                <w:sz w:val="19"/>
              </w:rPr>
              <w:t>KPI di score lento (media cumulata su centinaia di recensioni): non calare sotto la baseline, orizzonti lunghi, nessun salto in 2-3 mesi.</w:t>
            </w:r>
          </w:p>
        </w:tc>
      </w:tr>
    </w:tbl>
    <w:p>
      <w:pPr>
        <w:spacing w:after="160"/>
      </w:pPr>
    </w:p>
    <w:p>
      <w:r>
        <w:t>Questa sezione chiude il piano fissando l'unico cruscotto numerico a cui tutte le azioni precedenti devono rendere conto: niente KPI sparsi per sezione, ma un set unico, verificabile e governato con cadenza fissa. Dove la baseline esiste, il piano fissa un target; dove manca, fissa un obiettivo di processo — misurare e mettere a terra il tracciamento — perché un target senza baseline è solo una speranza scritta in un documento.</w:t>
      </w:r>
    </w:p>
    <w:p>
      <w:pPr>
        <w:spacing w:before="160" w:after="40"/>
      </w:pPr>
      <w:r>
        <w:rPr>
          <w:b/>
          <w:color w:val="2F5D62"/>
          <w:sz w:val="24"/>
        </w:rPr>
        <w:t>Cruscotto KPI nord (baseline → target/obiettivo)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 / Obiettivo</w:t>
            </w:r>
          </w:p>
        </w:tc>
        <w:tc>
          <w:tcPr>
            <w:tcW w:type="dxa" w:w="2160"/>
            <w:shd w:val="clear" w:color="auto" w:fill="2F5D62"/>
          </w:tcPr>
          <w:p>
            <w:r>
              <w:rPr>
                <w:b/>
                <w:color w:val="FFFFFF"/>
                <w:sz w:val="19"/>
              </w:rPr>
              <w:t>Orizzonte</w:t>
            </w:r>
          </w:p>
        </w:tc>
      </w:tr>
      <w:tr>
        <w:tc>
          <w:tcPr>
            <w:tcW w:type="dxa" w:w="2160"/>
          </w:tcPr>
          <w:p>
            <w:r>
              <w:rPr>
                <w:sz w:val="19"/>
              </w:rPr>
              <w:t>Rating aggregato multi-piattaforma</w:t>
            </w:r>
          </w:p>
        </w:tc>
        <w:tc>
          <w:tcPr>
            <w:tcW w:type="dxa" w:w="2160"/>
          </w:tcPr>
          <w:p>
            <w:r>
              <w:rPr>
                <w:sz w:val="19"/>
              </w:rPr>
              <w:t>4,36/5</w:t>
            </w:r>
          </w:p>
        </w:tc>
        <w:tc>
          <w:tcPr>
            <w:tcW w:type="dxa" w:w="2160"/>
          </w:tcPr>
          <w:p>
            <w:r>
              <w:rPr>
                <w:sz w:val="19"/>
              </w:rPr>
              <w:t>Consolidare senza scendere sotto baseline; è una media cumulata su centinaia di recensioni, si muove lentamente</w:t>
            </w:r>
          </w:p>
        </w:tc>
        <w:tc>
          <w:tcPr>
            <w:tcW w:type="dxa" w:w="2160"/>
          </w:tcPr>
          <w:p>
            <w:r>
              <w:rPr>
                <w:sz w:val="19"/>
              </w:rPr>
              <w:t>12 mesi</w:t>
            </w:r>
          </w:p>
        </w:tc>
      </w:tr>
      <w:tr>
        <w:tc>
          <w:tcPr>
            <w:tcW w:type="dxa" w:w="2160"/>
            <w:shd w:val="clear" w:color="auto" w:fill="EEF2F1"/>
          </w:tcPr>
          <w:p>
            <w:r>
              <w:rPr>
                <w:sz w:val="19"/>
              </w:rPr>
              <w:t>Recensioni TripAdvisor (volume)</w:t>
            </w:r>
          </w:p>
        </w:tc>
        <w:tc>
          <w:tcPr>
            <w:tcW w:type="dxa" w:w="2160"/>
            <w:shd w:val="clear" w:color="auto" w:fill="EEF2F1"/>
          </w:tcPr>
          <w:p>
            <w:r>
              <w:rPr>
                <w:sz w:val="19"/>
              </w:rPr>
              <w:t>442</w:t>
            </w:r>
          </w:p>
        </w:tc>
        <w:tc>
          <w:tcPr>
            <w:tcW w:type="dxa" w:w="2160"/>
            <w:shd w:val="clear" w:color="auto" w:fill="EEF2F1"/>
          </w:tcPr>
          <w:p>
            <w:r>
              <w:rPr>
                <w:sz w:val="19"/>
              </w:rPr>
              <w:t>Obiettivo di crescita da concordare col cliente su orizzonte realistico (v. Assunzioni)</w:t>
            </w:r>
          </w:p>
        </w:tc>
        <w:tc>
          <w:tcPr>
            <w:tcW w:type="dxa" w:w="2160"/>
            <w:shd w:val="clear" w:color="auto" w:fill="EEF2F1"/>
          </w:tcPr>
          <w:p>
            <w:r>
              <w:rPr>
                <w:sz w:val="19"/>
              </w:rPr>
              <w:t>12 mesi</w:t>
            </w:r>
          </w:p>
        </w:tc>
      </w:tr>
      <w:tr>
        <w:tc>
          <w:tcPr>
            <w:tcW w:type="dxa" w:w="2160"/>
          </w:tcPr>
          <w:p>
            <w:r>
              <w:rPr>
                <w:sz w:val="19"/>
              </w:rPr>
              <w:t>Copertura keyword del cluster di destinazione</w:t>
            </w:r>
          </w:p>
        </w:tc>
        <w:tc>
          <w:tcPr>
            <w:tcW w:type="dxa" w:w="2160"/>
          </w:tcPr>
          <w:p>
            <w:r>
              <w:rPr>
                <w:sz w:val="19"/>
              </w:rPr>
              <w:t>2 presidiate su 37</w:t>
            </w:r>
          </w:p>
        </w:tc>
        <w:tc>
          <w:tcPr>
            <w:tcW w:type="dxa" w:w="2160"/>
          </w:tcPr>
          <w:p>
            <w:r>
              <w:rPr>
                <w:sz w:val="19"/>
              </w:rPr>
              <w:t>Presidiare in prima pagina le query generaliste ad alto volume (v. sez. 03)</w:t>
            </w:r>
          </w:p>
        </w:tc>
        <w:tc>
          <w:tcPr>
            <w:tcW w:type="dxa" w:w="2160"/>
          </w:tcPr>
          <w:p>
            <w:r>
              <w:rPr>
                <w:sz w:val="19"/>
              </w:rPr>
              <w:t>12 mesi</w:t>
            </w:r>
          </w:p>
        </w:tc>
      </w:tr>
      <w:tr>
        <w:tc>
          <w:tcPr>
            <w:tcW w:type="dxa" w:w="2160"/>
            <w:shd w:val="clear" w:color="auto" w:fill="EEF2F1"/>
          </w:tcPr>
          <w:p>
            <w:r>
              <w:rPr>
                <w:sz w:val="19"/>
              </w:rPr>
              <w:t>Recensioni Booking in lingua tedesca (quota)</w:t>
            </w:r>
          </w:p>
        </w:tc>
        <w:tc>
          <w:tcPr>
            <w:tcW w:type="dxa" w:w="2160"/>
            <w:shd w:val="clear" w:color="auto" w:fill="EEF2F1"/>
          </w:tcPr>
          <w:p>
            <w:r>
              <w:rPr>
                <w:sz w:val="19"/>
              </w:rPr>
              <w:t>15,9%</w:t>
            </w:r>
          </w:p>
        </w:tc>
        <w:tc>
          <w:tcPr>
            <w:tcW w:type="dxa" w:w="2160"/>
            <w:shd w:val="clear" w:color="auto" w:fill="EEF2F1"/>
          </w:tcPr>
          <w:p>
            <w:r>
              <w:rPr>
                <w:sz w:val="19"/>
              </w:rPr>
              <w:t>Aumentare la quota (v. sez. 04)</w:t>
            </w:r>
          </w:p>
        </w:tc>
        <w:tc>
          <w:tcPr>
            <w:tcW w:type="dxa" w:w="2160"/>
            <w:shd w:val="clear" w:color="auto" w:fill="EEF2F1"/>
          </w:tcPr>
          <w:p>
            <w:r>
              <w:rPr>
                <w:sz w:val="19"/>
              </w:rPr>
              <w:t>12 mesi</w:t>
            </w:r>
          </w:p>
        </w:tc>
      </w:tr>
      <w:tr>
        <w:tc>
          <w:tcPr>
            <w:tcW w:type="dxa" w:w="2160"/>
          </w:tcPr>
          <w:p>
            <w:r>
              <w:rPr>
                <w:sz w:val="19"/>
              </w:rPr>
              <w:t>Quota diretta di prenotazione</w:t>
            </w:r>
          </w:p>
        </w:tc>
        <w:tc>
          <w:tcPr>
            <w:tcW w:type="dxa" w:w="2160"/>
          </w:tcPr>
          <w:p>
            <w:r>
              <w:rPr>
                <w:sz w:val="19"/>
              </w:rPr>
              <w:t>non disponibile</w:t>
            </w:r>
          </w:p>
        </w:tc>
        <w:tc>
          <w:tcPr>
            <w:tcW w:type="dxa" w:w="2160"/>
          </w:tcPr>
          <w:p>
            <w:r>
              <w:rPr>
                <w:sz w:val="19"/>
              </w:rPr>
              <w:t>Obiettivo di processo: impostare il tracciamento (nessuna baseline oggi)</w:t>
            </w:r>
          </w:p>
        </w:tc>
        <w:tc>
          <w:tcPr>
            <w:tcW w:type="dxa" w:w="2160"/>
          </w:tcPr>
          <w:p>
            <w:r>
              <w:rPr>
                <w:sz w:val="19"/>
              </w:rPr>
              <w:t>primo semestre</w:t>
            </w:r>
          </w:p>
        </w:tc>
      </w:tr>
      <w:tr>
        <w:tc>
          <w:tcPr>
            <w:tcW w:type="dxa" w:w="2160"/>
            <w:shd w:val="clear" w:color="auto" w:fill="EEF2F1"/>
          </w:tcPr>
          <w:p>
            <w:r>
              <w:rPr>
                <w:sz w:val="19"/>
              </w:rPr>
              <w:t>Visibilità su assistenti conversazionali (AEO)</w:t>
            </w:r>
          </w:p>
        </w:tc>
        <w:tc>
          <w:tcPr>
            <w:tcW w:type="dxa" w:w="2160"/>
            <w:shd w:val="clear" w:color="auto" w:fill="EEF2F1"/>
          </w:tcPr>
          <w:p>
            <w:r>
              <w:rPr>
                <w:sz w:val="19"/>
              </w:rPr>
              <w:t>audit parziale, 2 motori non misurati per errore tecnico</w:t>
            </w:r>
          </w:p>
        </w:tc>
        <w:tc>
          <w:tcPr>
            <w:tcW w:type="dxa" w:w="2160"/>
            <w:shd w:val="clear" w:color="auto" w:fill="EEF2F1"/>
          </w:tcPr>
          <w:p>
            <w:r>
              <w:rPr>
                <w:sz w:val="19"/>
              </w:rPr>
              <w:t>Obiettivo di processo: ripetere l'audit con credenziali valide su tutti i motori</w:t>
            </w:r>
          </w:p>
        </w:tc>
        <w:tc>
          <w:tcPr>
            <w:tcW w:type="dxa" w:w="2160"/>
            <w:shd w:val="clear" w:color="auto" w:fill="EEF2F1"/>
          </w:tcPr>
          <w:p>
            <w:r>
              <w:rPr>
                <w:sz w:val="19"/>
              </w:rPr>
              <w:t>primo trimestre</w:t>
            </w:r>
          </w:p>
        </w:tc>
      </w:tr>
      <w:tr>
        <w:tc>
          <w:tcPr>
            <w:tcW w:type="dxa" w:w="2160"/>
          </w:tcPr>
          <w:p>
            <w:r>
              <w:rPr>
                <w:sz w:val="19"/>
              </w:rPr>
              <w:t>Presidio locale query business/fiera</w:t>
            </w:r>
          </w:p>
        </w:tc>
        <w:tc>
          <w:tcPr>
            <w:tcW w:type="dxa" w:w="2160"/>
          </w:tcPr>
          <w:p>
            <w:r>
              <w:rPr>
                <w:sz w:val="19"/>
              </w:rPr>
              <w:t>non presidiato</w:t>
            </w:r>
          </w:p>
        </w:tc>
        <w:tc>
          <w:tcPr>
            <w:tcW w:type="dxa" w:w="2160"/>
          </w:tcPr>
          <w:p>
            <w:r>
              <w:rPr>
                <w:sz w:val="19"/>
              </w:rPr>
              <w:t>Obiettivo di processo: attivare e misurare il presidio (v. sez. 03)</w:t>
            </w:r>
          </w:p>
        </w:tc>
        <w:tc>
          <w:tcPr>
            <w:tcW w:type="dxa" w:w="2160"/>
          </w:tcPr>
          <w:p>
            <w:r>
              <w:rPr>
                <w:sz w:val="19"/>
              </w:rPr>
              <w:t>primo semestre</w:t>
            </w:r>
          </w:p>
        </w:tc>
      </w:tr>
    </w:tbl>
    <w:p>
      <w:pPr>
        <w:spacing w:after="160"/>
      </w:pPr>
    </w:p>
    <w:p>
      <w:pPr>
        <w:spacing w:before="160" w:after="40"/>
      </w:pPr>
      <w:r>
        <w:rPr>
          <w:b/>
          <w:color w:val="2F5D62"/>
          <w:sz w:val="24"/>
        </w:rPr>
        <w:t>Obiettivi misurabili</w:t>
      </w:r>
    </w:p>
    <w:p>
      <w:pPr>
        <w:pStyle w:val="ListBullet"/>
      </w:pPr>
      <w:r>
        <w:t>Attivare entro il primo trimestre gli accessi e la strumentazione oggi mancanti (motore di prenotazione, Google Business Profile, strumenti di misurazione del traffico) come precondizione per popolare il cruscotto con dati reali.</w:t>
      </w:r>
    </w:p>
    <w:p>
      <w:pPr>
        <w:pStyle w:val="ListBullet"/>
      </w:pPr>
      <w:r>
        <w:t>Portare a regime, entro il primo semestre, un rendiconto periodico che confronti ogni KPI nord con la propria baseline, non con benchmark generici di settore.</w:t>
      </w:r>
    </w:p>
    <w:p>
      <w:pPr>
        <w:pStyle w:val="ListBullet"/>
      </w:pPr>
      <w:r>
        <w:t>Ripetere l'audit di visibilità sugli assistenti conversazionali con copertura completa dei motori, oggi solo parziale.</w:t>
      </w:r>
    </w:p>
    <w:p>
      <w:pPr>
        <w:spacing w:before="160" w:after="40"/>
      </w:pPr>
      <w:r>
        <w:rPr>
          <w:b/>
          <w:color w:val="2F5D62"/>
          <w:sz w:val="24"/>
        </w:rPr>
        <w:t>Azioni</w:t>
      </w:r>
    </w:p>
    <w:p>
      <w:r>
        <w:t>Il cruscotto proposto contiene KPI di natura diversa e questo impone una cadenza di governance differenziata, non un report unico mensile che appiattisce tutto. I punteggi di piattaforma sono medie cumulate su centinaia di recensioni: un rendiconto mensile su questi indicatori genera solo rumore statistico e falsa l'attribuzione a singole azioni di comunicazione. La cadenza corretta è trimestrale per rating e volume recensioni, mensile invece per gli indicatori di attivazione (copertura keyword, presidio locale, stato del tracciamento diretto), che si muovono più in fretta e vanno corretti in corsa se restano fermi.</w:t>
      </w:r>
    </w:p>
    <w:p>
      <w:r>
        <w:t>La quota di prenotazione diretta non ha oggi una baseline misurata: prima di fissare qualunque target su questo fronte, la priorità operativa è impostare lo strumento che la misura (tracciamento sul motore di prenotazione, distinzione dei canali in reportistica) — un obiettivo di processo, non un numero. Allo stesso modo, l'audit sugli assistenti conversazionali ha coperto un solo motore su tre per un limite tecnico dichiarato: dichiarare oggi una struttura 'assente' su quei due canali sarebbe un'inferenza scorretta; la governance deve prevedere la ripetizione della misurazione prima di trarre conclusioni e pianificare investimenti su questo fronte.</w:t>
      </w:r>
    </w:p>
    <w:p>
      <w:r>
        <w:t>I benchmark di settore su costo di acquisizione diretto vs commissione OTA, e sul ritorno atteso dalla spesa pubblicitaria su canali brand/metasearch, restano riferimenti esterni utili per valutare l'efficienza una volta raccolti i dati reali del cliente: non sono target del piano né vanno confusi con le performance effettive della struttura, che dipendono da fattori specifici (mix di mercato, capacità di gestione del canale diretto) non ancora misurati qui.</w:t>
      </w:r>
    </w:p>
    <w:p>
      <w:pPr>
        <w:spacing w:before="160" w:after="40"/>
      </w:pPr>
      <w:r>
        <w:rPr>
          <w:b/>
          <w:color w:val="2F5D62"/>
          <w:sz w:val="24"/>
        </w:rPr>
        <w:t>KPI</w:t>
      </w:r>
    </w:p>
    <w:p>
      <w:pPr>
        <w:pStyle w:val="ListBullet"/>
      </w:pPr>
      <w:r>
        <w:t>Rating aggregato multi-piattaforma — v. tabella cruscotto</w:t>
      </w:r>
    </w:p>
    <w:p>
      <w:pPr>
        <w:pStyle w:val="ListBullet"/>
      </w:pPr>
      <w:r>
        <w:t>Volume recensioni TripAdvisor — v. tabella cruscotto</w:t>
      </w:r>
    </w:p>
    <w:p>
      <w:pPr>
        <w:pStyle w:val="ListBullet"/>
      </w:pPr>
      <w:r>
        <w:t>Copertura keyword del cluster di destinazione — v. tabella cruscotto e sez. 03</w:t>
      </w:r>
    </w:p>
    <w:p>
      <w:pPr>
        <w:pStyle w:val="ListBullet"/>
      </w:pPr>
      <w:r>
        <w:t>Quota recensioni Booking in lingua tedesca — v. tabella cruscotto e sez. 04</w:t>
      </w:r>
    </w:p>
    <w:p>
      <w:pPr>
        <w:pStyle w:val="ListBullet"/>
      </w:pPr>
      <w:r>
        <w:t>Quota diretta di prenotazione (obiettivo di processo) — v. tabella cruscotto</w:t>
      </w:r>
    </w:p>
    <w:p>
      <w:pPr>
        <w:pStyle w:val="ListBullet"/>
      </w:pPr>
      <w:r>
        <w:t>Visibilità su assistenti conversazionali (obiettivo di processo) — v. tabella cruscotto</w:t>
      </w:r>
    </w:p>
    <w:p>
      <w:pPr>
        <w:spacing w:before="160" w:after="40"/>
      </w:pPr>
      <w:r>
        <w:rPr>
          <w:b/>
          <w:color w:val="2F5D62"/>
          <w:sz w:val="24"/>
        </w:rPr>
        <w:t>Note esecutive</w:t>
      </w:r>
    </w:p>
    <w:p>
      <w:pPr>
        <w:pStyle w:val="ListBullet"/>
      </w:pPr>
      <w:r>
        <w:t>Il rendiconto trimestrale sui punteggi di piattaforma va sempre accompagnato dal numero di recensioni sottostante, non dal solo punteggio medio, per evitare letture premature su campioni ancora piccoli.</w:t>
      </w:r>
    </w:p>
    <w:p>
      <w:pPr>
        <w:pStyle w:val="ListBullet"/>
      </w:pPr>
      <w:r>
        <w:t>La responsabilità di popolare il cruscotto con dati reali (accessi a booking engine, Google Business Profile, strumenti di traffico) è condizione abilitante e va assegnata con scadenza esplicita, non lasciata implicita.</w:t>
      </w:r>
    </w:p>
    <w:p>
      <w:pPr>
        <w:pStyle w:val="ListBullet"/>
      </w:pPr>
      <w:r>
        <w:t>Le metriche tariffarie e di rendimento della struttura restano di competenza della proprietà e non rientrano in questo cruscotto, che misura esclusivamente distribuzione, visibilità e acquisizione.</w:t>
      </w:r>
    </w:p>
    <w:p>
      <w:r>
        <w:br w:type="page"/>
      </w:r>
    </w:p>
    <w:p>
      <w:pPr>
        <w:spacing w:after="0"/>
      </w:pPr>
      <w:r>
        <w:rPr>
          <w:b/>
          <w:color w:val="2F5D62"/>
          <w:sz w:val="18"/>
        </w:rPr>
        <w:t>SEZIONE 07</w:t>
      </w:r>
    </w:p>
    <w:p>
      <w:pPr>
        <w:spacing w:after="200"/>
        <w:pBdr>
          <w:bottom w:val="single" w:sz="18" w:space="6" w:color="2F5D62"/>
        </w:pBdr>
      </w:pPr>
      <w:r>
        <w:rPr>
          <w:b/>
          <w:color w:val="1A1A2E"/>
          <w:sz w:val="40"/>
        </w:rPr>
        <w:t>Budget (ripartizione %)</w:t>
      </w:r>
    </w:p>
    <w:p>
      <w:pPr>
        <w:spacing w:before="160" w:after="40"/>
      </w:pPr>
      <w:r>
        <w:rPr>
          <w:b/>
          <w:color w:val="2F5D62"/>
          <w:sz w:val="24"/>
        </w:rPr>
        <w:t>Ripartizione del budget (%, decision record)</w:t>
      </w:r>
    </w:p>
    <w:p>
      <w:r>
        <w:t>Budget marketing indicativo: 3-4% del ricavo (stadio: maturità). Ripartizione % per canale; gli importi in euro sono nell'allegato economico a cura dell'agenzia.</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Canale</w:t>
            </w:r>
          </w:p>
        </w:tc>
        <w:tc>
          <w:tcPr>
            <w:tcW w:type="dxa" w:w="2880"/>
            <w:shd w:val="clear" w:color="auto" w:fill="2F5D62"/>
          </w:tcPr>
          <w:p>
            <w:r>
              <w:rPr>
                <w:b/>
                <w:color w:val="FFFFFF"/>
                <w:sz w:val="19"/>
              </w:rPr>
              <w:t>Ripartizione %</w:t>
            </w:r>
          </w:p>
        </w:tc>
        <w:tc>
          <w:tcPr>
            <w:tcW w:type="dxa" w:w="2880"/>
            <w:shd w:val="clear" w:color="auto" w:fill="2F5D62"/>
          </w:tcPr>
          <w:p>
            <w:r>
              <w:rPr>
                <w:b/>
                <w:color w:val="FFFFFF"/>
                <w:sz w:val="19"/>
              </w:rPr>
              <w:t>Verdetto</w:t>
            </w:r>
          </w:p>
        </w:tc>
      </w:tr>
      <w:tr>
        <w:tc>
          <w:tcPr>
            <w:tcW w:type="dxa" w:w="2880"/>
          </w:tcPr>
          <w:p>
            <w:r>
              <w:rPr>
                <w:sz w:val="19"/>
              </w:rPr>
              <w:t>SEO organico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Search advertising (Google Ads)</w:t>
            </w:r>
          </w:p>
        </w:tc>
        <w:tc>
          <w:tcPr>
            <w:tcW w:type="dxa" w:w="2880"/>
            <w:shd w:val="clear" w:color="auto" w:fill="EEF2F1"/>
          </w:tcPr>
          <w:p>
            <w:r>
              <w:rPr>
                <w:sz w:val="19"/>
              </w:rPr>
              <w:t>30-40%</w:t>
            </w:r>
          </w:p>
        </w:tc>
        <w:tc>
          <w:tcPr>
            <w:tcW w:type="dxa" w:w="2880"/>
            <w:shd w:val="clear" w:color="auto" w:fill="EEF2F1"/>
          </w:tcPr>
          <w:p>
            <w:r>
              <w:rPr>
                <w:sz w:val="19"/>
              </w:rPr>
              <w:t>Attivare (stagionale)</w:t>
            </w:r>
          </w:p>
        </w:tc>
      </w:tr>
      <w:tr>
        <w:tc>
          <w:tcPr>
            <w:tcW w:type="dxa" w:w="2880"/>
          </w:tcPr>
          <w:p>
            <w:r>
              <w:rPr>
                <w:sz w:val="19"/>
              </w:rPr>
              <w:t>Sito &amp; booking diretto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Social organico</w:t>
            </w:r>
          </w:p>
        </w:tc>
        <w:tc>
          <w:tcPr>
            <w:tcW w:type="dxa" w:w="2880"/>
            <w:shd w:val="clear" w:color="auto" w:fill="EEF2F1"/>
          </w:tcPr>
          <w:p>
            <w:r>
              <w:rPr>
                <w:sz w:val="19"/>
              </w:rPr>
              <w:t>15-25%</w:t>
            </w:r>
          </w:p>
        </w:tc>
        <w:tc>
          <w:tcPr>
            <w:tcW w:type="dxa" w:w="2880"/>
            <w:shd w:val="clear" w:color="auto" w:fill="EEF2F1"/>
          </w:tcPr>
          <w:p>
            <w:r>
              <w:rPr>
                <w:sz w:val="19"/>
              </w:rPr>
              <w:t>Rafforzare</w:t>
            </w:r>
          </w:p>
        </w:tc>
      </w:tr>
      <w:tr>
        <w:tc>
          <w:tcPr>
            <w:tcW w:type="dxa" w:w="2880"/>
          </w:tcPr>
          <w:p>
            <w:r>
              <w:rPr>
                <w:sz w:val="19"/>
              </w:rPr>
              <w:t>Email &amp; CRM</w:t>
            </w:r>
          </w:p>
        </w:tc>
        <w:tc>
          <w:tcPr>
            <w:tcW w:type="dxa" w:w="2880"/>
          </w:tcPr>
          <w:p>
            <w:r>
              <w:rPr>
                <w:sz w:val="19"/>
              </w:rPr>
              <w:t>10-15%</w:t>
            </w:r>
          </w:p>
        </w:tc>
        <w:tc>
          <w:tcPr>
            <w:tcW w:type="dxa" w:w="2880"/>
          </w:tcPr>
          <w:p>
            <w:r>
              <w:rPr>
                <w:sz w:val="19"/>
              </w:rPr>
              <w:t>Attivare</w:t>
            </w:r>
          </w:p>
        </w:tc>
      </w:tr>
      <w:tr>
        <w:tc>
          <w:tcPr>
            <w:tcW w:type="dxa" w:w="2880"/>
            <w:shd w:val="clear" w:color="auto" w:fill="EEF2F1"/>
          </w:tcPr>
          <w:p>
            <w:r>
              <w:rPr>
                <w:sz w:val="19"/>
              </w:rPr>
              <w:t>Mercato DACH (area di lingua tedesca)</w:t>
            </w:r>
          </w:p>
        </w:tc>
        <w:tc>
          <w:tcPr>
            <w:tcW w:type="dxa" w:w="2880"/>
            <w:shd w:val="clear" w:color="auto" w:fill="EEF2F1"/>
          </w:tcPr>
          <w:p>
            <w:r>
              <w:rPr>
                <w:sz w:val="19"/>
              </w:rPr>
              <w:t>10-15%</w:t>
            </w:r>
          </w:p>
        </w:tc>
        <w:tc>
          <w:tcPr>
            <w:tcW w:type="dxa" w:w="2880"/>
            <w:shd w:val="clear" w:color="auto" w:fill="EEF2F1"/>
          </w:tcPr>
          <w:p>
            <w:r>
              <w:rPr>
                <w:sz w:val="19"/>
              </w:rPr>
              <w:t>Attivare</w:t>
            </w:r>
          </w:p>
        </w:tc>
      </w:tr>
      <w:tr>
        <w:tc>
          <w:tcPr>
            <w:tcW w:type="dxa" w:w="2880"/>
          </w:tcPr>
          <w:p>
            <w:r>
              <w:rPr>
                <w:sz w:val="19"/>
              </w:rPr>
              <w:t>Segmento business / MICE</w:t>
            </w:r>
          </w:p>
        </w:tc>
        <w:tc>
          <w:tcPr>
            <w:tcW w:type="dxa" w:w="2880"/>
          </w:tcPr>
          <w:p>
            <w:r>
              <w:rPr>
                <w:sz w:val="19"/>
              </w:rPr>
              <w:t>5-10%</w:t>
            </w:r>
          </w:p>
        </w:tc>
        <w:tc>
          <w:tcPr>
            <w:tcW w:type="dxa" w:w="2880"/>
          </w:tcPr>
          <w:p>
            <w:r>
              <w:rPr>
                <w:sz w:val="19"/>
              </w:rPr>
              <w:t>Attivare</w:t>
            </w:r>
          </w:p>
        </w:tc>
      </w:tr>
      <w:tr>
        <w:tc>
          <w:tcPr>
            <w:tcW w:type="dxa" w:w="2880"/>
            <w:shd w:val="clear" w:color="auto" w:fill="EEF2F1"/>
          </w:tcPr>
          <w:p>
            <w:r>
              <w:rPr>
                <w:sz w:val="19"/>
              </w:rPr>
              <w:t>Local &amp; Google Business Profile</w:t>
            </w:r>
          </w:p>
        </w:tc>
        <w:tc>
          <w:tcPr>
            <w:tcW w:type="dxa" w:w="2880"/>
            <w:shd w:val="clear" w:color="auto" w:fill="EEF2F1"/>
          </w:tcPr>
          <w:p>
            <w:r>
              <w:rPr>
                <w:sz w:val="19"/>
              </w:rPr>
              <w:t>15-25%</w:t>
            </w:r>
          </w:p>
        </w:tc>
        <w:tc>
          <w:tcPr>
            <w:tcW w:type="dxa" w:w="2880"/>
            <w:shd w:val="clear" w:color="auto" w:fill="EEF2F1"/>
          </w:tcPr>
          <w:p>
            <w:r>
              <w:rPr>
                <w:sz w:val="19"/>
              </w:rPr>
              <w:t>Attivare</w:t>
            </w:r>
          </w:p>
        </w:tc>
      </w:tr>
    </w:tbl>
    <w:p>
      <w:pPr>
        <w:spacing w:after="160"/>
      </w:pPr>
    </w:p>
    <w:p>
      <w:r>
        <w:t>Riferimenti di settore (agency/vendor, da validare sui dati reali del cliente — la ripartizione operativa resta quella della tabella qui sopra): search e metasearch dal 30% al 40%; social e video dal 15% al 25%; SEO, contenuti e presenza locale dal 15% al 25%; email e CRM dal 10% al 15%; display e retargeting dal 5% al 10%; riallocazione trimestrale dal 10% al 20% in base ai risultati per canale.</w:t>
      </w:r>
    </w:p>
    <w:p>
      <w:r>
        <w:t>Il budget non va speso in modo uniforme sui dodici mesi né sui canali: la struttura è stagionale, con un cantiere tecnico-contenutistico da finanziare nei mesi di chiusura e due canali — organico e presidio locale — che partono senza spesa media aggiuntiva. La ripartizione che segue traduce in percentuali le priorità già fissate nella matrice di canale e nella roadmap: il criterio guida è concentrare la quota di spesa media dove la domanda è già alta e misurabile (ricerca generalista sul brand cittadino, cluster spa-coppia, query di prossimità business), e riservare una quota fissa alla marginalità del diretto (email/CRM) prima di qualunque investimento aggiuntivo in acquisizione a pagamento.</w:t>
      </w:r>
    </w:p>
    <w:p>
      <w:pPr>
        <w:spacing w:before="160" w:after="40"/>
      </w:pPr>
      <w:r>
        <w:rPr>
          <w:b/>
          <w:color w:val="2F5D62"/>
          <w:sz w:val="24"/>
        </w:rPr>
        <w:t>Ripartizione % di riferimento</w:t>
      </w:r>
    </w:p>
    <w:p>
      <w:r>
        <w:t>La tabella conferma che oltre la metà della quota digitale (ricerca/metasearch + SEO/local) va su canali già in gap di visibilità diagnosticato: qui la spesa non compete con concorrenti già presenti nella stessa misura, ma colma un vuoto. Social e CRM restano il secondo blocco, funzionali a coppia e famiglia; il retargeting entra per ultimo perché richiede prima un volume di traffico organico/a pagamento da poter ri-attivare.</w:t>
      </w:r>
    </w:p>
    <w:p>
      <w:pPr>
        <w:spacing w:before="160" w:after="40"/>
      </w:pPr>
      <w:r>
        <w:rPr>
          <w:b/>
          <w:color w:val="2F5D62"/>
          <w:sz w:val="24"/>
        </w:rPr>
        <w:t>Obiettivi misurabili</w:t>
      </w:r>
    </w:p>
    <w:p>
      <w:pPr>
        <w:pStyle w:val="ListBullet"/>
      </w:pPr>
      <w:r>
        <w:t>Assegnare priorità di spesa a SEO/local e ricerca/metasearch nel primo trimestre operativo, coerentemente con il cantiere tecnico già pianificato in roadmap (v. sez. 05)</w:t>
      </w:r>
    </w:p>
    <w:p>
      <w:pPr>
        <w:pStyle w:val="ListBullet"/>
      </w:pPr>
      <w:r>
        <w:t>Riservare una quota stabile di budget a email/CRM prima di incrementare la spesa media in acquisizione, come da gerarchia diretto-poi-a pagamento</w:t>
      </w:r>
    </w:p>
    <w:p>
      <w:pPr>
        <w:pStyle w:val="ListBullet"/>
      </w:pPr>
      <w:r>
        <w:t>Impostare una revisione trimestrale della ripartizione (obiettivo di processo: la baseline di CAC/CoA per canale non è oggi disponibile, v. sez. 08)</w:t>
      </w:r>
    </w:p>
    <w:p>
      <w:pPr>
        <w:spacing w:before="160" w:after="40"/>
      </w:pPr>
      <w:r>
        <w:rPr>
          <w:b/>
          <w:color w:val="2F5D62"/>
          <w:sz w:val="24"/>
        </w:rPr>
        <w:t>Azioni</w:t>
      </w:r>
    </w:p>
    <w:p>
      <w:pPr>
        <w:pStyle w:val="ListBullet"/>
      </w:pPr>
      <w:r>
        <w:t>Il gap di visibilità organica sul cluster generalista e sul cluster spa-coppia (v. sez. 03) è già coperto da un canale a costo incrementale contenuto: la quota SEO &amp; contenuti &amp; local va quindi impegnata per prima, senza attendere il via libera di altri canali, spostando su di essa la priorità temporale anche se la percentuale non è la più alta della tabella.</w:t>
      </w:r>
    </w:p>
    <w:p>
      <w:pPr>
        <w:pStyle w:val="ListBullet"/>
      </w:pPr>
      <w:r>
        <w:t>La struttura vive due tempi opposti — apertura piena e cantiere in chiusura (v. sez. 05): la quota social &amp; video va programmata per raccogliere materiale nei mesi di apertura e per pubblicarlo/promuoverlo nei mesi di chiusura, evitando di concentrare spesa media proprio quando la struttura non ha bandwidth per produrre contenuto fresco.</w:t>
      </w:r>
    </w:p>
    <w:p>
      <w:pPr>
        <w:pStyle w:val="ListBullet"/>
      </w:pPr>
      <w:r>
        <w:t>L'economia del canale diretto rende conveniente blindare prima la relazione con chi ha già soggiornato che investire in acquisizione fredda: la quota email/CRM &amp; retention va quindi attivata subito, con priorità sulla comunicazione di riapertura e sul richiamo dei segmenti coppia/famiglia già maggioritari nel mix reale (v. sez. 02), prima di scalare la quota ricerca/metasearch.</w:t>
      </w:r>
    </w:p>
    <w:p>
      <w:pPr>
        <w:pStyle w:val="ListBullet"/>
      </w:pPr>
      <w:r>
        <w:t>Il canale business/fiera resta minoritario nel mix reale ma con una domanda locale non presidiata (v. sez. 03): la quota ricerca/metasearch va in parte indirizzata a query di prossimità (fiera/palacongressi) nella finestra in cui la struttura è aperta e la domanda fieristica ricade nel periodo operativo, senza sottrarre risorse alla priorità coppia/famiglia.</w:t>
      </w:r>
    </w:p>
    <w:p>
      <w:pPr>
        <w:pStyle w:val="ListBullet"/>
      </w:pPr>
      <w:r>
        <w:t>Il canale display/retargeting, ultimo in ordine di attivazione, va aperto solo dopo che ricerca/metasearch e SEO/local abbiano generato un volume di traffico misurabile da ri-attivare: attivarlo prima significherebbe disperdere budget senza una base di pubblico proprietario.</w:t>
      </w:r>
    </w:p>
    <w:p>
      <w:pPr>
        <w:spacing w:before="160" w:after="40"/>
      </w:pPr>
      <w:r>
        <w:rPr>
          <w:b/>
          <w:color w:val="2F5D62"/>
          <w:sz w:val="24"/>
        </w:rPr>
        <w:t>KPI</w:t>
      </w:r>
    </w:p>
    <w:p>
      <w:r>
        <w:t>I KPI numerici di controllo della spesa (CAC/CoA per canale, ROAS, quota diretta) sono raccolti in sede di misurazione (v. sez. 06); qui si monitora la sola coerenza tra ripartizione pianificata e ripartizione effettiva a consuntivo trimestrale.</w:t>
      </w:r>
    </w:p>
    <w:p>
      <w:pPr>
        <w:spacing w:before="160" w:after="40"/>
      </w:pPr>
      <w:r>
        <w:rPr>
          <w:b/>
          <w:color w:val="2F5D62"/>
          <w:sz w:val="24"/>
        </w:rPr>
        <w:t>Note esecutive</w:t>
      </w:r>
    </w:p>
    <w:p>
      <w:pPr>
        <w:pStyle w:val="ListBullet"/>
      </w:pPr>
      <w:r>
        <w:t>La ripartizione è una percentuale di riferimento, non un importo: l'ammontare assoluto dipende dal ricavo reale della struttura, oggi non disponibile (v. sez. 08).</w:t>
      </w:r>
    </w:p>
    <w:p>
      <w:pPr>
        <w:pStyle w:val="ListBullet"/>
      </w:pPr>
      <w:r>
        <w:t>La riallocazione tra canali in corso d'anno segue il criterio di performance già indicato nel benchmark operativo (revisione di parte del budget su base trimestrale), non una redistribuzione arbitraria.</w:t>
      </w:r>
    </w:p>
    <w:p>
      <w:pPr>
        <w:pStyle w:val="ListBullet"/>
      </w:pPr>
      <w:r>
        <w:t>Le metriche tariffarie e di rendimento restano di competenza della struttura: questo piano non tocca prezzi e listini se non come vetrina.</w:t>
      </w:r>
    </w:p>
    <w:p>
      <w:r>
        <w:br w:type="page"/>
      </w:r>
    </w:p>
    <w:p>
      <w:pPr>
        <w:spacing w:after="0"/>
      </w:pPr>
      <w:r>
        <w:rPr>
          <w:b/>
          <w:color w:val="2F5D62"/>
          <w:sz w:val="18"/>
        </w:rPr>
        <w:t>APPENDICE</w:t>
      </w:r>
    </w:p>
    <w:p>
      <w:pPr>
        <w:spacing w:after="200"/>
        <w:pBdr>
          <w:bottom w:val="single" w:sz="18" w:space="6" w:color="2F5D62"/>
        </w:pBdr>
      </w:pPr>
      <w:r>
        <w:rPr>
          <w:b/>
          <w:color w:val="1A1A2E"/>
          <w:sz w:val="40"/>
        </w:rPr>
        <w:t>Assunzioni &amp; input mancanti</w:t>
      </w:r>
    </w:p>
    <w:p>
      <w:r>
        <w:t>Questo piano è costruito su dati reali di reputazione, mix di clientela e domanda di ricerca, ma alcune sue leve restano condizionate a input che oggi non sono nella disponibilità dell'agenzia: dati di accesso del cliente, storici di canale e un calendario eventi. Il presente box rende esplicito ogni valore di benchmark citato altrove nel piano e mette in fila, in forma operativa, la raccolta necessaria per trasformare gli obiettivi di processo (sez. 02-07) in obiettivi numerici con baseline reale. Nessuna delle azioni già proposte è bloccata da questi input: procedono in parallelo, ma la loro calibrazione fine (target di quota diretta, soglie di CAC, priorità di spesa) va rivista non appena questi dati entrano in possesso dell'agenzia.</w:t>
      </w:r>
    </w:p>
    <w:p>
      <w:pPr>
        <w:spacing w:before="160" w:after="40"/>
      </w:pPr>
      <w:r>
        <w:rPr>
          <w:b/>
          <w:color w:val="2F5D62"/>
          <w:sz w:val="24"/>
        </w:rPr>
        <w:t>Obiettivi misurabili</w:t>
      </w:r>
    </w:p>
    <w:p>
      <w:pPr>
        <w:pStyle w:val="ListBullet"/>
      </w:pPr>
      <w:r>
        <w:t>Ottenere dal cliente, entro l'avvio operativo del piano, l'accesso a Google Analytics 4, Search Console, Google Business Profile e booking engine/PMS: obiettivo di processo, non un numero da anticipare.</w:t>
      </w:r>
    </w:p>
    <w:p>
      <w:pPr>
        <w:pStyle w:val="ListBullet"/>
      </w:pPr>
      <w:r>
        <w:t>Rilevare la baseline reale di quota diretta e CAC storico per canale entro il primo ciclo di reporting utile, così da fissare target numerici oggi non sostenibili senza baseline.</w:t>
      </w:r>
    </w:p>
    <w:p>
      <w:pPr>
        <w:pStyle w:val="ListBullet"/>
      </w:pPr>
      <w:r>
        <w:t>Acquisire il calendario eventi locali (fiere, congressi, eventi di destinazione) per allineare le finestre di campagna già indicate in roadmap a scadenze reali, non solo a mesi tipo.</w:t>
      </w:r>
    </w:p>
    <w:p>
      <w:pPr>
        <w:spacing w:before="160" w:after="40"/>
      </w:pPr>
      <w:r>
        <w:rPr>
          <w:b/>
          <w:color w:val="2F5D62"/>
          <w:sz w:val="24"/>
        </w:rPr>
        <w:t>Azioni</w:t>
      </w:r>
    </w:p>
    <w:p>
      <w:r>
        <w:t>Il piano usa benchmark di settore in tre punti — la ripartizione di budget, il differenziale di costo di acquisizione diretto vs OTA, il ROAS indicativo su brand/metasearch — proprio perché non esiste ancora un ricavo reale né uno storico di canale del cliente su cui ancorarli: senza questa dichiarazione esplicita rischierebbero di essere letti come dati propri della struttura, quando restano riferimenti di settore da validare. L'azione conseguente è marcare ciascuno di questi valori come ipotesi operativa e sostituirlo, al primo ciclo utile di reporting, con il dato realmente misurato sul cliente.</w:t>
      </w:r>
    </w:p>
    <w:p>
      <w:r>
        <w:t>Allo stesso modo, l'assenza di accesso a GA4, Search Console, Google Business Profile e booking engine impedisce oggi di misurare conversione, friction del funnel diretto e parity sui metasearch — condizioni già segnalate come prioritarie per decidere quanto spingere il canale diretto rispetto agli OTA. Finché questi accessi non sono acquisiti, ogni azione di spinta al diretto resta un'ipotesi da confermare con l'evidenza tecnica, e la priorità immediata è la richiesta formale di questi accessi al cliente, non l'investimento in campagne di canale.</w:t>
      </w:r>
    </w:p>
    <w:p>
      <w:r>
        <w:t>Sul fronte dei ricavi, la struttura del piano esclude volutamente tariffe, ADR e ogni metrica di rendimento: queste restano di competenza della struttura e non rientrano nel mandato di marketing. Ne consegue che il budget di questo piano è espresso solo come ripartizione percentuale per canale/attività (v. sez. 07): la traduzione in importi assoluti richiede il ricavo reale del cliente e resta un allegato commerciale separato, di competenza dell'agenzia, non parte di questo documento.</w:t>
      </w:r>
    </w:p>
    <w:p>
      <w:r>
        <w:t>Sul fronte della domanda di ricerca, il piano non presenta un vuoto: il ledger di keyword e volumi usato nelle sezioni precedenti è già un dato acquisito dall'analisi diagnostica e non va ri-raccolto. Ciò che manca è la sua verifica nel tempo: un futuro export aggiornato entra nel piano solo come delta datato rispetto al ledger attuale, e l'accesso a Search Console permetterà di sostituire le stime di volume con dati di traffico realmente generato dal sito, azione da programmare non appena l'accesso è disponibile.</w:t>
      </w:r>
    </w:p>
    <w:p>
      <w:r>
        <w:t>Infine, il calendario eventi locali (fiere, congressi, eventi di destinazione) non è nella disponibilità dell'agenzia in questa fase: la roadmap ha già anticipato mesi tipo e finestre di campagna coerenti con l'archetipo della struttura, ma la loro traduzione in date esatte di attivazione richiede questo input, da acquisire tramite il cliente o le fonti pubbliche di destinazione prima dell'attivazione dei singoli sprint.</w:t>
      </w:r>
    </w:p>
    <w:p>
      <w:pPr>
        <w:spacing w:before="160" w:after="40"/>
      </w:pPr>
      <w:r>
        <w:rPr>
          <w:b/>
          <w:color w:val="2F5D62"/>
          <w:sz w:val="24"/>
        </w:rPr>
        <w:t>KPI</w:t>
      </w:r>
    </w:p>
    <w:p>
      <w:r>
        <w:t>I KPI numerici del piano vivono in sez. 06; questo box non ne introduce di nuovi, ma condiziona la loro attivazione piena alla chiusura dei gap elencati sopra.</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Voce</w:t>
            </w:r>
          </w:p>
        </w:tc>
        <w:tc>
          <w:tcPr>
            <w:tcW w:type="dxa" w:w="2880"/>
            <w:shd w:val="clear" w:color="auto" w:fill="2F5D62"/>
          </w:tcPr>
          <w:p>
            <w:r>
              <w:rPr>
                <w:b/>
                <w:color w:val="FFFFFF"/>
                <w:sz w:val="19"/>
              </w:rPr>
              <w:t>Natura</w:t>
            </w:r>
          </w:p>
        </w:tc>
        <w:tc>
          <w:tcPr>
            <w:tcW w:type="dxa" w:w="2880"/>
            <w:shd w:val="clear" w:color="auto" w:fill="2F5D62"/>
          </w:tcPr>
          <w:p>
            <w:r>
              <w:rPr>
                <w:b/>
                <w:color w:val="FFFFFF"/>
                <w:sz w:val="19"/>
              </w:rPr>
              <w:t>Azione richiesta</w:t>
            </w:r>
          </w:p>
        </w:tc>
      </w:tr>
      <w:tr>
        <w:tc>
          <w:tcPr>
            <w:tcW w:type="dxa" w:w="2880"/>
          </w:tcPr>
          <w:p>
            <w:r>
              <w:rPr>
                <w:sz w:val="19"/>
              </w:rPr>
              <w:t>Ripartizione budget per canale/attività</w:t>
            </w:r>
          </w:p>
        </w:tc>
        <w:tc>
          <w:tcPr>
            <w:tcW w:type="dxa" w:w="2880"/>
          </w:tcPr>
          <w:p>
            <w:r>
              <w:rPr>
                <w:sz w:val="19"/>
              </w:rPr>
              <w:t>Assunzione di piano espressa in %, da tradurre in importi solo col ricavo reale</w:t>
            </w:r>
          </w:p>
        </w:tc>
        <w:tc>
          <w:tcPr>
            <w:tcW w:type="dxa" w:w="2880"/>
          </w:tcPr>
          <w:p>
            <w:r>
              <w:rPr>
                <w:sz w:val="19"/>
              </w:rPr>
              <w:t>Acquisire il ricavo reale del cliente; l'importo in € resta un allegato commerciale separato</w:t>
            </w:r>
          </w:p>
        </w:tc>
      </w:tr>
      <w:tr>
        <w:tc>
          <w:tcPr>
            <w:tcW w:type="dxa" w:w="2880"/>
            <w:shd w:val="clear" w:color="auto" w:fill="EEF2F1"/>
          </w:tcPr>
          <w:p>
            <w:r>
              <w:rPr>
                <w:sz w:val="19"/>
              </w:rPr>
              <w:t>CoA diretto ~4-5% del ricavo vs commissione OTA 15-30%</w:t>
            </w:r>
          </w:p>
        </w:tc>
        <w:tc>
          <w:tcPr>
            <w:tcW w:type="dxa" w:w="2880"/>
            <w:shd w:val="clear" w:color="auto" w:fill="EEF2F1"/>
          </w:tcPr>
          <w:p>
            <w:r>
              <w:rPr>
                <w:sz w:val="19"/>
              </w:rPr>
              <w:t>Benchmark di settore, non dato del cliente</w:t>
            </w:r>
          </w:p>
        </w:tc>
        <w:tc>
          <w:tcPr>
            <w:tcW w:type="dxa" w:w="2880"/>
            <w:shd w:val="clear" w:color="auto" w:fill="EEF2F1"/>
          </w:tcPr>
          <w:p>
            <w:r>
              <w:rPr>
                <w:sz w:val="19"/>
              </w:rPr>
              <w:t>Validare con CAC/CoA storici reali del cliente, se disponibili</w:t>
            </w:r>
          </w:p>
        </w:tc>
      </w:tr>
      <w:tr>
        <w:tc>
          <w:tcPr>
            <w:tcW w:type="dxa" w:w="2880"/>
          </w:tcPr>
          <w:p>
            <w:r>
              <w:rPr>
                <w:sz w:val="19"/>
              </w:rPr>
              <w:t>CAC diretto ~15-25€ vs OTA ~35-60€</w:t>
            </w:r>
          </w:p>
        </w:tc>
        <w:tc>
          <w:tcPr>
            <w:tcW w:type="dxa" w:w="2880"/>
          </w:tcPr>
          <w:p>
            <w:r>
              <w:rPr>
                <w:sz w:val="19"/>
              </w:rPr>
              <w:t>Benchmark di settore, non dato del cliente</w:t>
            </w:r>
          </w:p>
        </w:tc>
        <w:tc>
          <w:tcPr>
            <w:tcW w:type="dxa" w:w="2880"/>
          </w:tcPr>
          <w:p>
            <w:r>
              <w:rPr>
                <w:sz w:val="19"/>
              </w:rPr>
              <w:t>Validare con storico CAC per canale, se disponibile</w:t>
            </w:r>
          </w:p>
        </w:tc>
      </w:tr>
      <w:tr>
        <w:tc>
          <w:tcPr>
            <w:tcW w:type="dxa" w:w="2880"/>
            <w:shd w:val="clear" w:color="auto" w:fill="EEF2F1"/>
          </w:tcPr>
          <w:p>
            <w:r>
              <w:rPr>
                <w:sz w:val="19"/>
              </w:rPr>
              <w:t>ROAS indicativo ~8:1 su brand/metasearch</w:t>
            </w:r>
          </w:p>
        </w:tc>
        <w:tc>
          <w:tcPr>
            <w:tcW w:type="dxa" w:w="2880"/>
            <w:shd w:val="clear" w:color="auto" w:fill="EEF2F1"/>
          </w:tcPr>
          <w:p>
            <w:r>
              <w:rPr>
                <w:sz w:val="19"/>
              </w:rPr>
              <w:t>Benchmark di settore per indipendenti, non target certo</w:t>
            </w:r>
          </w:p>
        </w:tc>
        <w:tc>
          <w:tcPr>
            <w:tcW w:type="dxa" w:w="2880"/>
            <w:shd w:val="clear" w:color="auto" w:fill="EEF2F1"/>
          </w:tcPr>
          <w:p>
            <w:r>
              <w:rPr>
                <w:sz w:val="19"/>
              </w:rPr>
              <w:t>Validare dopo i primi cicli di campagna attiva</w:t>
            </w:r>
          </w:p>
        </w:tc>
      </w:tr>
      <w:tr>
        <w:tc>
          <w:tcPr>
            <w:tcW w:type="dxa" w:w="2880"/>
          </w:tcPr>
          <w:p>
            <w:r>
              <w:rPr>
                <w:sz w:val="19"/>
              </w:rPr>
              <w:t>Quota di prenotazione diretta target</w:t>
            </w:r>
          </w:p>
        </w:tc>
        <w:tc>
          <w:tcPr>
            <w:tcW w:type="dxa" w:w="2880"/>
          </w:tcPr>
          <w:p>
            <w:r>
              <w:rPr>
                <w:sz w:val="19"/>
              </w:rPr>
              <w:t>Obiettivo di processo, nessun valore 'giusto' universale</w:t>
            </w:r>
          </w:p>
        </w:tc>
        <w:tc>
          <w:tcPr>
            <w:tcW w:type="dxa" w:w="2880"/>
          </w:tcPr>
          <w:p>
            <w:r>
              <w:rPr>
                <w:sz w:val="19"/>
              </w:rPr>
              <w:t>Rilevare la baseline reale (booking engine/PMS) prima di fissare un target numerico</w:t>
            </w:r>
          </w:p>
        </w:tc>
      </w:tr>
      <w:tr>
        <w:tc>
          <w:tcPr>
            <w:tcW w:type="dxa" w:w="2880"/>
            <w:shd w:val="clear" w:color="auto" w:fill="EEF2F1"/>
          </w:tcPr>
          <w:p>
            <w:r>
              <w:rPr>
                <w:sz w:val="19"/>
              </w:rPr>
              <w:t>Crescita recensioni TripAdvisor oltre baseline 442</w:t>
            </w:r>
          </w:p>
        </w:tc>
        <w:tc>
          <w:tcPr>
            <w:tcW w:type="dxa" w:w="2880"/>
            <w:shd w:val="clear" w:color="auto" w:fill="EEF2F1"/>
          </w:tcPr>
          <w:p>
            <w:r>
              <w:rPr>
                <w:sz w:val="19"/>
              </w:rPr>
              <w:t>Orizzonte da concordare, non incremento fisso</w:t>
            </w:r>
          </w:p>
        </w:tc>
        <w:tc>
          <w:tcPr>
            <w:tcW w:type="dxa" w:w="2880"/>
            <w:shd w:val="clear" w:color="auto" w:fill="EEF2F1"/>
          </w:tcPr>
          <w:p>
            <w:r>
              <w:rPr>
                <w:sz w:val="19"/>
              </w:rPr>
              <w:t>Concordare con il cliente un orizzonte realistico di crescita</w:t>
            </w:r>
          </w:p>
        </w:tc>
      </w:tr>
    </w:tbl>
    <w:p>
      <w:pPr>
        <w:spacing w:after="160"/>
      </w:pPr>
    </w:p>
    <w:p>
      <w:pPr>
        <w:spacing w:before="160" w:after="40"/>
      </w:pPr>
      <w:r>
        <w:rPr>
          <w:b/>
          <w:color w:val="2F5D62"/>
          <w:sz w:val="24"/>
        </w:rPr>
        <w:t>Note esecutive</w:t>
      </w:r>
    </w:p>
    <w:p>
      <w:pPr>
        <w:pStyle w:val="ListBullet"/>
      </w:pPr>
      <w:r>
        <w:t>Input da richiedere al cliente: quota di prenotazione diretta storica e CAC per canale; budget marketing effettivo; calendario eventi locali/fiere; accesso a GA4, Search Console, Google Business Profile, booking engine e PMS.</w:t>
      </w:r>
    </w:p>
    <w:p>
      <w:pPr>
        <w:pStyle w:val="ListBullet"/>
      </w:pPr>
      <w:r>
        <w:t>Fuori perimetro del piano, da trattare come input di sola raccolta: dati di occupazione, tariffa media e rendimento (revenue management), di competenza esclusiva della struttura.</w:t>
      </w:r>
    </w:p>
    <w:p>
      <w:pPr>
        <w:pStyle w:val="ListBullet"/>
      </w:pPr>
      <w:r>
        <w:t>Un futuro export aggiornato della domanda di ricerca entra nel piano solo come delta datato rispetto al ledger già in uso; non sostituisce né richiede una nuova raccolta di base.</w:t>
      </w:r>
    </w:p>
    <w:p>
      <w:pPr>
        <w:pStyle w:val="ListBullet"/>
      </w:pPr>
      <w:r>
        <w:t>La proposta economica in valuta è un allegato separato, a cura dell'agenzia: questo piano esprime il budget solo come ripartizione percentuale (v. sez. 07).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