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pPr>
    </w:p>
    <w:p>
      <w:pPr>
        <w:shd w:val="clear" w:color="auto" w:fill="2F5D62"/>
        <w:spacing w:before="200" w:after="200"/>
        <w:jc w:val="center"/>
      </w:pPr>
      <w:r>
        <w:rPr>
          <w:b/>
          <w:color w:val="FFFFFF"/>
          <w:sz w:val="30"/>
        </w:rPr>
        <w:t>PIANO STRATEGICO DI MARKETING</w:t>
      </w:r>
    </w:p>
    <w:p>
      <w:pPr>
        <w:spacing w:before="480"/>
        <w:jc w:val="center"/>
      </w:pPr>
      <w:r>
        <w:rPr>
          <w:b/>
          <w:color w:val="1A1A2E"/>
          <w:sz w:val="60"/>
        </w:rPr>
        <w:t>DIAMOND EXPERIENCE HOTEL</w:t>
      </w:r>
    </w:p>
    <w:p>
      <w:pPr>
        <w:jc w:val="center"/>
      </w:pPr>
      <w:r>
        <w:rPr>
          <w:color w:val="6B7280"/>
          <w:sz w:val="26"/>
        </w:rPr>
        <w:t>Riccione  ·  4 stelle</w:t>
      </w:r>
    </w:p>
    <w:p>
      <w:pPr>
        <w:spacing w:before="360"/>
        <w:pBdr>
          <w:bottom w:val="single" w:sz="12" w:space="6" w:color="2F5D62"/>
        </w:pBdr>
      </w:pPr>
    </w:p>
    <w:p>
      <w:pPr>
        <w:spacing w:before="160"/>
        <w:jc w:val="center"/>
      </w:pPr>
      <w:r>
        <w:rPr>
          <w:color w:val="6B7280"/>
          <w:sz w:val="18"/>
        </w:rPr>
        <w:t>Documento operativo · 05/10/2026 09:01 · Uso interno</w:t>
        <w:br/>
        <w:t>A cura di Agenzia · su base di analisi diagnostica</w:t>
        <w:br/>
        <w:t>Proposta economica: allegato separato a cura di Agenzia</w:t>
      </w:r>
    </w:p>
    <w:p>
      <w:r>
        <w:br w:type="page"/>
      </w:r>
    </w:p>
    <w:p>
      <w:pPr>
        <w:pBdr>
          <w:bottom w:val="single" w:sz="14" w:space="6" w:color="2F5D62"/>
        </w:pBdr>
      </w:pPr>
      <w:r>
        <w:rPr>
          <w:b/>
          <w:color w:val="1A1A2E"/>
          <w:sz w:val="36"/>
        </w:rPr>
        <w:t>Indice del Piano</w:t>
      </w:r>
    </w:p>
    <w:p>
      <w:r>
        <w:rPr>
          <w:color w:val="6B7280"/>
        </w:rPr>
        <w:t>Documento strategico di vertice: trasforma l'analisi diagnostica competitiva e reputazionale in un piano operativo di marketing. Per ogni area: sintesi strategica, obiettivi misurabili, azioni (Evidenza → Implicazione → Azione) e KPI.</w:t>
      </w:r>
    </w:p>
    <w:p>
      <w:pPr>
        <w:pStyle w:val="ListNumber"/>
      </w:pPr>
      <w:r>
        <w:t>01 — Executive summary &amp; posizionamento</w:t>
      </w:r>
    </w:p>
    <w:p>
      <w:pPr>
        <w:pStyle w:val="ListNumber"/>
      </w:pPr>
      <w:r>
        <w:t>02 — Segmenti prioritari &amp; messaggi</w:t>
      </w:r>
    </w:p>
    <w:p>
      <w:pPr>
        <w:pStyle w:val="ListNumber"/>
      </w:pPr>
      <w:r>
        <w:t>03 — Strategia di canale (core)</w:t>
      </w:r>
    </w:p>
    <w:p>
      <w:pPr>
        <w:pStyle w:val="ListNumber"/>
      </w:pPr>
      <w:r>
        <w:t>04 — Distribuzione &amp; mercati</w:t>
      </w:r>
    </w:p>
    <w:p>
      <w:pPr>
        <w:pStyle w:val="ListNumber"/>
      </w:pPr>
      <w:r>
        <w:t>05 — Roadmap 12 mesi</w:t>
      </w:r>
    </w:p>
    <w:p>
      <w:pPr>
        <w:pStyle w:val="ListNumber"/>
      </w:pPr>
      <w:r>
        <w:t>06 — Misurazione &amp; governance</w:t>
      </w:r>
    </w:p>
    <w:p>
      <w:pPr>
        <w:pStyle w:val="ListNumber"/>
      </w:pPr>
      <w:r>
        <w:t>07 — Budget (ripartizione %)</w:t>
      </w:r>
    </w:p>
    <w:p>
      <w:pPr>
        <w:pStyle w:val="ListNumber"/>
      </w:pPr>
      <w:r>
        <w:t>08 — Assunzioni &amp; input mancanti</w:t>
      </w:r>
    </w:p>
    <w:p>
      <w:r>
        <w:br w:type="page"/>
      </w:r>
    </w:p>
    <w:p>
      <w:pPr>
        <w:spacing w:after="0"/>
      </w:pPr>
      <w:r>
        <w:rPr>
          <w:b/>
          <w:color w:val="2F5D62"/>
          <w:sz w:val="18"/>
        </w:rPr>
        <w:t>SEZIONE 01</w:t>
      </w:r>
    </w:p>
    <w:p>
      <w:pPr>
        <w:spacing w:after="200"/>
        <w:pBdr>
          <w:bottom w:val="single" w:sz="18" w:space="6" w:color="2F5D62"/>
        </w:pBdr>
      </w:pPr>
      <w:r>
        <w:rPr>
          <w:b/>
          <w:color w:val="1A1A2E"/>
          <w:sz w:val="40"/>
        </w:rPr>
        <w:t>Executive summary &amp; posizionamento</w:t>
      </w:r>
    </w:p>
    <w:p>
      <w:r>
        <w:t>Diamond Experience Hotel gioca la propria partita nel cuore pulsante di Riccione, a 50-60 metri dal mare e a un passo da viale Ceccarini: è questa centralità, non la categoria alberghiera in sé, il vero asset competitivo su cui costruire i prossimi dodici mesi. La mossa strategica è duplice e sequenziale: prima consolidare la coerenza tra promessa e prodotto fisico (comfort, pulizia, aree comuni) per difendere la reputazione nel segmento che già premia la struttura — le coppie in cerca di relax e benessere — poi, solo a valle, aggredire con decisione il vuoto di visibilità digitale che oggi lascia sul tavolo una domanda di destinazione enorme e interamente scoperta. Non si tratta di inseguire il posizionamento a 4 stelle sulla carta, ma di allinearlo a ciò che il mercato comportamentale già percepisce: una struttura centrale, informale, giovane, che il cliente stesso co-considera spesso alla pari di alberghi a 3 stelle. Su questa base realistica, più che su un confronto astratto con la classificazione ufficiale, va ricostruita la promessa di valore.</w:t>
      </w:r>
    </w:p>
    <w:p>
      <w:r>
        <w:t>Il sito dichiara un target ampio — coppie, famiglie, business fieristico, sportivi, nightlife — ma i dati comportamentali raccontano una struttura in cui le coppie pesano per circa un terzo della clientela con il sentiment più positivo del campione, mentre l'investimento in servizi family (piscina bimbi, camere comunicanti, camere a tema) non trova ancora pieno riscontro nel mix reale degli ospiti, e il business fieristico resta marginale nei dati OTA pur con una storia editoriale robusta sul sito. Questo scarto tra posizionamento dichiarato e clientela misurata non va sanato scegliendo un segmento a scapito degli altri, ma sequenziando le priorità: la coppia resta l'ancora commerciale da proteggere e sviluppare nel breve periodo, la famiglia è l'opportunità strutturale da attivare con comunicazione mirata (gli asset ci sono già, manca l'intercettazione), il business fieristico è un canale di nicchia stagionale da ripresidiare con contenuti aggiornati più che da reinventare.</w:t>
      </w:r>
    </w:p>
    <w:p>
      <w:pPr>
        <w:spacing w:before="160" w:after="40"/>
      </w:pPr>
      <w:r>
        <w:rPr>
          <w:b/>
          <w:color w:val="2F5D62"/>
          <w:sz w:val="24"/>
        </w:rPr>
        <w:t>Obiettivi misurabili</w:t>
      </w:r>
    </w:p>
    <w:p>
      <w:pPr>
        <w:pStyle w:val="ListBullet"/>
      </w:pPr>
      <w:r>
        <w:t>Riallineare la narrazione di prodotto (comfort, aree comuni, pulizia) alla promessa 4 stelle entro la chiusura stagionale, con priorità sulle unità più vendute al segmento coppie</w:t>
      </w:r>
    </w:p>
    <w:p>
      <w:pPr>
        <w:pStyle w:val="ListBullet"/>
      </w:pPr>
      <w:r>
        <w:t>Attivare la domanda family latente collegando i servizi già esistenti (piscina bimbi, camere comunicanti, camere a tema) a una presenza organica oggi assente</w:t>
      </w:r>
    </w:p>
    <w:p>
      <w:pPr>
        <w:pStyle w:val="ListBullet"/>
      </w:pPr>
      <w:r>
        <w:t>Colmare il vuoto di visibilità digitale sulla destinazione, oggi totalmente scoperto, come leva di posizionamento prioritaria rispetto al comp-set locale</w:t>
      </w:r>
    </w:p>
    <w:p>
      <w:pPr>
        <w:spacing w:before="160" w:after="40"/>
      </w:pPr>
      <w:r>
        <w:rPr>
          <w:b/>
          <w:color w:val="2F5D62"/>
          <w:sz w:val="24"/>
        </w:rPr>
        <w:t>Azioni</w:t>
      </w:r>
    </w:p>
    <w:p>
      <w:pPr>
        <w:pStyle w:val="ListBullet"/>
      </w:pPr>
      <w:r>
        <w:t>La posizione centrale è l'elemento più citato e meglio valutato dagli ospiti, eppure non trova alcun riscontro nella ricerca organica legata alla destinazione: l'assenza di presidio su query come 'hotel riccione' o 'hotel riccione sul mare' significa che il principale punto di forza percepito resta invisibile a chi sta ancora scegliendo. Va costruita una gerarchia di contenuti che tragga la USP di posizione dal piano delle recensioni al piano della ricerca, con pagine e dati strutturati dedicati a destinazione e segmento (v. azioni di dettaglio in sez. 03/04).</w:t>
      </w:r>
    </w:p>
    <w:p>
      <w:pPr>
        <w:pStyle w:val="ListBullet"/>
      </w:pPr>
      <w:r>
        <w:t>Il comfort e lo stato delle aree comuni sono il tema critico più ricorrente proprio nella fase di validazione pre-prenotazione delle coppie, il segmento più fidelizzato: comunicare la SPA e la posizione senza intervenire su questo fronte rischia di alimentare un'aspettativa che il soggiorno poi disattende. La priorità operativa è un piano di rinnovo graduale concentrato sulle unità più vendute a questo segmento, accompagnato da un aggiornamento fotografico onesto su sito e canali di prenotazione.</w:t>
      </w:r>
    </w:p>
    <w:p>
      <w:pPr>
        <w:pStyle w:val="ListBullet"/>
      </w:pPr>
      <w:r>
        <w:t>Gli asset per la famiglia esistono già in struttura (piscina bimbi, camere Family comunicanti, camere tematiche) ma restano sotto-rappresentati sia nel mix clienti sia nella domanda di ricerca intercettata: la struttura sta pagando un disallineamento tra investimento fisico e comunicazione. Va creata una sezione editoriale e una pagina dedicata al target famiglia, costruita sul lessico di prodotto (formule, piscina bimbi, camere comunicanti) per convertire la domanda già esistente sul mercato.</w:t>
      </w:r>
    </w:p>
    <w:p>
      <w:pPr>
        <w:pStyle w:val="ListBullet"/>
      </w:pPr>
      <w:r>
        <w:t>Il posizionamento dichiarato verso il segmento fieristico/business non trova riscontro nei dati di prenotazione ma convive con un impianto editoriale storico sul sito, in parte obsoleto: prima di investire su questo pubblico va ripulita e aggiornata la presenza esistente, trasformandola da archivio datato a vetrina credibile per le edizioni correnti e future degli eventi di riferimento.</w:t>
      </w:r>
    </w:p>
    <w:p>
      <w:pPr>
        <w:spacing w:before="160" w:after="40"/>
      </w:pPr>
      <w:r>
        <w:rPr>
          <w:b/>
          <w:color w:val="2F5D62"/>
          <w:sz w:val="24"/>
        </w:rPr>
        <w:t>KPI</w:t>
      </w:r>
    </w:p>
    <w:p>
      <w:r>
        <w:t>Il cruscotto di controllo con target, baseline e orizzonti temporali è riportato integralmente in sezione 06; qui si richiama solo la logica: coerenza prodotto-promessa sul segmento coppie, intercettazione della domanda organica di destinazione, attivazione della domanda family latente.</w:t>
      </w:r>
    </w:p>
    <w:p>
      <w:pPr>
        <w:spacing w:before="160" w:after="40"/>
      </w:pPr>
      <w:r>
        <w:rPr>
          <w:b/>
          <w:color w:val="2F5D62"/>
          <w:sz w:val="24"/>
        </w:rPr>
        <w:t>Note esecutive</w:t>
      </w:r>
    </w:p>
    <w:p>
      <w:r>
        <w:t>Il posizionamento qui proposto non richiede di rincorrere la categoria 4 stelle sulla carta, ma di rendere coerente ciò che la struttura promette con ciò che il mercato già riconosce e con ciò che il prodotto fisico può mantenere nel breve periodo. Le leve tariffarie e di rendimento restano di competenza della struttura: questo piano non le tocca, se non come vetrina nelle pagine di prodotto.</w:t>
      </w:r>
    </w:p>
    <w:p>
      <w:r>
        <w:br w:type="page"/>
      </w:r>
    </w:p>
    <w:p>
      <w:pPr>
        <w:spacing w:after="0"/>
      </w:pPr>
      <w:r>
        <w:rPr>
          <w:b/>
          <w:color w:val="2F5D62"/>
          <w:sz w:val="18"/>
        </w:rPr>
        <w:t>SEZIONE 02</w:t>
      </w:r>
    </w:p>
    <w:p>
      <w:pPr>
        <w:spacing w:after="200"/>
        <w:pBdr>
          <w:bottom w:val="single" w:sz="18" w:space="6" w:color="2F5D62"/>
        </w:pBdr>
      </w:pPr>
      <w:r>
        <w:rPr>
          <w:b/>
          <w:color w:val="1A1A2E"/>
          <w:sz w:val="40"/>
        </w:rPr>
        <w:t>Segmenti prioritari &amp; messaggi</w:t>
      </w:r>
    </w:p>
    <w:p>
      <w:pPr>
        <w:spacing w:before="160" w:after="40"/>
      </w:pPr>
      <w:r>
        <w:rPr>
          <w:b/>
          <w:color w:val="2F5D62"/>
          <w:sz w:val="24"/>
        </w:rPr>
        <w:t>Mix di clientela reale (decision record — verità del piano)</w:t>
      </w:r>
    </w:p>
    <w:p>
      <w:r>
        <w:t>Coppie + Famiglie = 43,6% del mix di clientela reale (recensioni Booking): Coppie 29,0% · Famiglie 14,6%.</w:t>
      </w:r>
    </w:p>
    <w:p>
      <w:r>
        <w:t>Il mix reale di clientela racconta un hotel diverso da quello dichiarato sul sito: le coppie sono il primo segmento misurato, i viaggiatori singoli pesano più di ogni altro gruppo, le famiglie restano minoritarie nel dato nonostante un investimento di prodotto evidente, e il business fieristico è quasi invisibile nei tag OTA ma ben presente nella storia editoriale del sito. La priorità operativa è quindi allineare messaggi e contenuti al peso reale di ciascun segmento, smettendo di comunicare 'a tutti' e iniziando a parlare in modo distinto a coppie, famiglie e business di prossimità, con un occhio al segmento singoli che oggi non ha una voce dedicata.</w:t>
      </w:r>
    </w:p>
    <w:p>
      <w:pPr>
        <w:spacing w:before="160" w:after="40"/>
      </w:pPr>
      <w:r>
        <w:rPr>
          <w:b/>
          <w:color w:val="2F5D62"/>
          <w:sz w:val="24"/>
        </w:rPr>
        <w:t>Obiettivi misurabili</w:t>
      </w:r>
    </w:p>
    <w:tbl>
      <w:tblPr>
        <w:tblStyle w:val="TableGrid"/>
        <w:tblW w:type="auto" w:w="0"/>
        <w:jc w:val="center"/>
        <w:tblLook w:firstColumn="1" w:firstRow="1" w:lastColumn="0" w:lastRow="0" w:noHBand="0" w:noVBand="1" w:val="04A0"/>
      </w:tblPr>
      <w:tblGrid>
        <w:gridCol w:w="4320"/>
        <w:gridCol w:w="4320"/>
      </w:tblGrid>
      <w:tr>
        <w:trPr>
          <w:tblHeader w:val="true"/>
        </w:trPr>
        <w:tc>
          <w:tcPr>
            <w:tcW w:type="dxa" w:w="4320"/>
            <w:shd w:val="clear" w:color="auto" w:fill="2F5D62"/>
          </w:tcPr>
          <w:p>
            <w:r>
              <w:rPr>
                <w:b/>
                <w:color w:val="FFFFFF"/>
                <w:sz w:val="19"/>
              </w:rPr>
              <w:t>Segmento</w:t>
            </w:r>
          </w:p>
        </w:tc>
        <w:tc>
          <w:tcPr>
            <w:tcW w:type="dxa" w:w="4320"/>
            <w:shd w:val="clear" w:color="auto" w:fill="2F5D62"/>
          </w:tcPr>
          <w:p>
            <w:r>
              <w:rPr>
                <w:b/>
                <w:color w:val="FFFFFF"/>
                <w:sz w:val="19"/>
              </w:rPr>
              <w:t>Obiettivo</w:t>
            </w:r>
          </w:p>
        </w:tc>
      </w:tr>
      <w:tr>
        <w:tc>
          <w:tcPr>
            <w:tcW w:type="dxa" w:w="4320"/>
          </w:tcPr>
          <w:p>
            <w:r>
              <w:rPr>
                <w:sz w:val="19"/>
              </w:rPr>
              <w:t>Coppie</w:t>
            </w:r>
          </w:p>
        </w:tc>
        <w:tc>
          <w:tcPr>
            <w:tcW w:type="dxa" w:w="4320"/>
          </w:tcPr>
          <w:p>
            <w:r>
              <w:rPr>
                <w:sz w:val="19"/>
              </w:rPr>
              <w:t>Presidiare in home page e in pagina dedicata il messaggio relax/benessere con formula e beach incluso entro la chiusura stagionale (v. sez. 05)</w:t>
            </w:r>
          </w:p>
        </w:tc>
      </w:tr>
      <w:tr>
        <w:tc>
          <w:tcPr>
            <w:tcW w:type="dxa" w:w="4320"/>
            <w:shd w:val="clear" w:color="auto" w:fill="EEF2F1"/>
          </w:tcPr>
          <w:p>
            <w:r>
              <w:rPr>
                <w:sz w:val="19"/>
              </w:rPr>
              <w:t>Famiglie</w:t>
            </w:r>
          </w:p>
        </w:tc>
        <w:tc>
          <w:tcPr>
            <w:tcW w:type="dxa" w:w="4320"/>
            <w:shd w:val="clear" w:color="auto" w:fill="EEF2F1"/>
          </w:tcPr>
          <w:p>
            <w:r>
              <w:rPr>
                <w:sz w:val="19"/>
              </w:rPr>
              <w:t>Collegare esplicitamente i servizi family già esistenti (piscina bimbi, camere comunicanti, camere a tema) alla domanda di ricerca specifica, con contenuto e lessico di prodotto dedicato</w:t>
            </w:r>
          </w:p>
        </w:tc>
      </w:tr>
      <w:tr>
        <w:tc>
          <w:tcPr>
            <w:tcW w:type="dxa" w:w="4320"/>
          </w:tcPr>
          <w:p>
            <w:r>
              <w:rPr>
                <w:sz w:val="19"/>
              </w:rPr>
              <w:t>Business/fiere (3B)</w:t>
            </w:r>
          </w:p>
        </w:tc>
        <w:tc>
          <w:tcPr>
            <w:tcW w:type="dxa" w:w="4320"/>
          </w:tcPr>
          <w:p>
            <w:r>
              <w:rPr>
                <w:sz w:val="19"/>
              </w:rPr>
              <w:t>Riportare a copertura corrente il parco pagine-evento, con template riusabile per le edizioni future</w:t>
            </w:r>
          </w:p>
        </w:tc>
      </w:tr>
      <w:tr>
        <w:tc>
          <w:tcPr>
            <w:tcW w:type="dxa" w:w="4320"/>
            <w:shd w:val="clear" w:color="auto" w:fill="EEF2F1"/>
          </w:tcPr>
          <w:p>
            <w:r>
              <w:rPr>
                <w:sz w:val="19"/>
              </w:rPr>
              <w:t>Viaggiatori singoli</w:t>
            </w:r>
          </w:p>
        </w:tc>
        <w:tc>
          <w:tcPr>
            <w:tcW w:type="dxa" w:w="4320"/>
            <w:shd w:val="clear" w:color="auto" w:fill="EEF2F1"/>
          </w:tcPr>
          <w:p>
            <w:r>
              <w:rPr>
                <w:sz w:val="19"/>
              </w:rPr>
              <w:t>Impostare il tracciamento del peso di questo segmento sui canali diretti (obiettivo di processo: baseline non disponibile)</w:t>
            </w:r>
          </w:p>
        </w:tc>
      </w:tr>
    </w:tbl>
    <w:p>
      <w:pPr>
        <w:spacing w:after="160"/>
      </w:pPr>
    </w:p>
    <w:p>
      <w:pPr>
        <w:spacing w:before="160" w:after="40"/>
      </w:pPr>
      <w:r>
        <w:rPr>
          <w:b/>
          <w:color w:val="2F5D62"/>
          <w:sz w:val="24"/>
        </w:rPr>
        <w:t>Azioni</w:t>
      </w:r>
    </w:p>
    <w:p>
      <w:r>
        <w:t>Le coppie pesano più di ogni altro segmento misurato e mostrano il sentiment più positivo del campione, in coerenza con un pacchetto servizi — SPA esterna su tre livelli, massaggi, terrazza panoramica — costruito di fatto per loro più che per la famiglia. Se il sito dedica già pagine alla vacanza di coppia ma il posizionamento organico resta debole, l'implicazione è che il messaggio esiste ma non intercetta la domanda nel momento della ricerca: va quindi rafforzato un asset editoriale 'relax di coppia' che unisca SPA, terrazza vista mare e posizione a due passi da viale Ceccarini, con proposta di pacchetto benessere e invito al prenotato anticipato per la bassa e media stagione. Il lessico corretto qui non è la formula pensione, ma l'esperienza: trattamento, momento a due, vista mare.</w:t>
      </w:r>
    </w:p>
    <w:p>
      <w:r>
        <w:t>Le famiglie restano un segmento minoritario nel dato misurato, ma la struttura ha già investito in piscina bimbi, camere Family comunicanti, camere a tema Dolphin e Pingu e lezioni di nuoto con istruttore federale: un posizionamento di prodotto che oggi non trova un corrispettivo comunicativo altrettanto esplicito. L'azione è costruire contenuto dedicato che nomini la formula (pensione completa o all inclusive), il piano famiglia con bambini gratuiti per fascia d'età, la spiaggia inclusa con ombrellone e lettini, e il book early per chi prenota con anticipo: senza questo lessico di prodotto il messaggio family resta vago e non compete sulla domanda realmente cercata. La leva stagionale va modulata secondo la pratica consolidata — gratuità bambini nei mesi di spalla, sconto nel cuore dell'estate — per spostare la domanda family proprio dove la struttura ha più margine di riempimento.</w:t>
      </w:r>
    </w:p>
    <w:p>
      <w:r>
        <w:t>Il business fieristico non autonomo (3B) è quasi assente nel dato OTA ma ben visibile nella storia del sito, che conserva decine di pagine-evento legate a fiere e manifestazioni riminesi e riccionesi. Poiché gran parte del calendario fieristico cade fuori dal periodo di apertura stagionale, il messaggio business ha senso solo per le fiere che ricadono nei mesi di apertura: lì la leva non è emotiva ma pratica — parcheggio privato, garage sotterraneo, reception e bar aperti 24 ore, vicinanza a piedi alla sede evento. L'azione è concentrare il refresh delle pagine-evento sulle edizioni che cadono in stagione, con informazioni aggiornate su date e servizi, piuttosto che mantenere un parco pagine ampio ma in gran parte fuori contesto temporale.</w:t>
      </w:r>
    </w:p>
    <w:p>
      <w:r>
        <w:t>I viaggiatori singoli rappresentano il gruppo più numeroso nel dato misurato, ma non hanno oggi un messaggio o una pagina dedicata: la struttura parla di coppie, famiglie e sportivi, mai di chi viaggia da solo. Vista la numerosità del segmento, l'azione minima è includere nei contenuti esistenti (posizione, SPA, ristorante) un linguaggio che non presupponga sempre la coppia o il nucleo familiare, aprendo lo spazio a chi prenota da solo per piacere personale o per una breve vacanza in autonomia.</w:t>
      </w:r>
    </w:p>
    <w:p>
      <w:r>
        <w:br w:type="page"/>
      </w:r>
    </w:p>
    <w:p>
      <w:pPr>
        <w:spacing w:after="0"/>
      </w:pPr>
      <w:r>
        <w:rPr>
          <w:b/>
          <w:color w:val="2F5D62"/>
          <w:sz w:val="18"/>
        </w:rPr>
        <w:t>SEZIONE 03</w:t>
      </w:r>
    </w:p>
    <w:p>
      <w:pPr>
        <w:spacing w:after="200"/>
        <w:pBdr>
          <w:bottom w:val="single" w:sz="18" w:space="6" w:color="2F5D62"/>
        </w:pBdr>
      </w:pPr>
      <w:r>
        <w:rPr>
          <w:b/>
          <w:color w:val="1A1A2E"/>
          <w:sz w:val="40"/>
        </w:rPr>
        <w:t>Strategia di canale (core)</w:t>
      </w:r>
    </w:p>
    <w:p>
      <w:pPr>
        <w:spacing w:before="160" w:after="40"/>
      </w:pPr>
      <w:r>
        <w:rPr>
          <w:b/>
          <w:color w:val="2F5D62"/>
          <w:sz w:val="24"/>
        </w:rPr>
        <w:t>Matrice dei canali (decision record — verità del piano)</w:t>
      </w:r>
    </w:p>
    <w:tbl>
      <w:tblPr>
        <w:tblStyle w:val="TableGrid"/>
        <w:tblW w:type="auto" w:w="0"/>
        <w:jc w:val="center"/>
        <w:tblLook w:firstColumn="1" w:firstRow="1" w:lastColumn="0" w:lastRow="0" w:noHBand="0" w:noVBand="1" w:val="04A0"/>
      </w:tblPr>
      <w:tblGrid>
        <w:gridCol w:w="1728"/>
        <w:gridCol w:w="1728"/>
        <w:gridCol w:w="1728"/>
        <w:gridCol w:w="1728"/>
        <w:gridCol w:w="1728"/>
      </w:tblGrid>
      <w:tr>
        <w:trPr>
          <w:tblHeader w:val="true"/>
        </w:trPr>
        <w:tc>
          <w:tcPr>
            <w:tcW w:type="dxa" w:w="1728"/>
            <w:shd w:val="clear" w:color="auto" w:fill="2F5D62"/>
          </w:tcPr>
          <w:p>
            <w:r>
              <w:rPr>
                <w:b/>
                <w:color w:val="FFFFFF"/>
                <w:sz w:val="19"/>
              </w:rPr>
              <w:t>Canale</w:t>
            </w:r>
          </w:p>
        </w:tc>
        <w:tc>
          <w:tcPr>
            <w:tcW w:type="dxa" w:w="1728"/>
            <w:shd w:val="clear" w:color="auto" w:fill="2F5D62"/>
          </w:tcPr>
          <w:p>
            <w:r>
              <w:rPr>
                <w:b/>
                <w:color w:val="FFFFFF"/>
                <w:sz w:val="19"/>
              </w:rPr>
              <w:t>Verdetto</w:t>
            </w:r>
          </w:p>
        </w:tc>
        <w:tc>
          <w:tcPr>
            <w:tcW w:type="dxa" w:w="1728"/>
            <w:shd w:val="clear" w:color="auto" w:fill="2F5D62"/>
          </w:tcPr>
          <w:p>
            <w:r>
              <w:rPr>
                <w:b/>
                <w:color w:val="FFFFFF"/>
                <w:sz w:val="19"/>
              </w:rPr>
              <w:t>Priorità</w:t>
            </w:r>
          </w:p>
        </w:tc>
        <w:tc>
          <w:tcPr>
            <w:tcW w:type="dxa" w:w="1728"/>
            <w:shd w:val="clear" w:color="auto" w:fill="2F5D62"/>
          </w:tcPr>
          <w:p>
            <w:r>
              <w:rPr>
                <w:b/>
                <w:color w:val="FFFFFF"/>
                <w:sz w:val="19"/>
              </w:rPr>
              <w:t>Motivo</w:t>
            </w:r>
          </w:p>
        </w:tc>
        <w:tc>
          <w:tcPr>
            <w:tcW w:type="dxa" w:w="1728"/>
            <w:shd w:val="clear" w:color="auto" w:fill="2F5D62"/>
          </w:tcPr>
          <w:p>
            <w:r>
              <w:rPr>
                <w:b/>
                <w:color w:val="FFFFFF"/>
                <w:sz w:val="19"/>
              </w:rPr>
              <w:t>Dipendenze</w:t>
            </w:r>
          </w:p>
        </w:tc>
      </w:tr>
      <w:tr>
        <w:tc>
          <w:tcPr>
            <w:tcW w:type="dxa" w:w="1728"/>
          </w:tcPr>
          <w:p>
            <w:r>
              <w:rPr>
                <w:sz w:val="19"/>
              </w:rPr>
              <w:t>SEO organico</w:t>
            </w:r>
          </w:p>
        </w:tc>
        <w:tc>
          <w:tcPr>
            <w:tcW w:type="dxa" w:w="1728"/>
          </w:tcPr>
          <w:p>
            <w:r>
              <w:rPr>
                <w:sz w:val="19"/>
              </w:rPr>
              <w:t>Attivare (prioritario)</w:t>
            </w:r>
          </w:p>
        </w:tc>
        <w:tc>
          <w:tcPr>
            <w:tcW w:type="dxa" w:w="1728"/>
          </w:tcPr>
          <w:p>
            <w:r>
              <w:rPr>
                <w:sz w:val="19"/>
              </w:rPr>
              <w:t>alta</w:t>
            </w:r>
          </w:p>
        </w:tc>
        <w:tc>
          <w:tcPr>
            <w:tcW w:type="dxa" w:w="1728"/>
          </w:tcPr>
          <w:p>
            <w:r>
              <w:rPr>
                <w:sz w:val="19"/>
              </w:rPr>
              <w:t>24 keyword su 24 in gap (100%); 72340 ricerche/mese di domanda non presidiata. On-site: mancano dati strutturati per i rich result (breadcrumb, faq, review).</w:t>
            </w:r>
          </w:p>
        </w:tc>
        <w:tc>
          <w:tcPr>
            <w:tcW w:type="dxa" w:w="1728"/>
          </w:tcPr>
          <w:p>
            <w:r>
              <w:rPr>
                <w:sz w:val="19"/>
              </w:rPr>
              <w:t>—</w:t>
            </w:r>
          </w:p>
        </w:tc>
      </w:tr>
      <w:tr>
        <w:tc>
          <w:tcPr>
            <w:tcW w:type="dxa" w:w="1728"/>
            <w:shd w:val="clear" w:color="auto" w:fill="EEF2F1"/>
          </w:tcPr>
          <w:p>
            <w:r>
              <w:rPr>
                <w:sz w:val="19"/>
              </w:rPr>
              <w:t>Search advertising (Google Ads)</w:t>
            </w:r>
          </w:p>
        </w:tc>
        <w:tc>
          <w:tcPr>
            <w:tcW w:type="dxa" w:w="1728"/>
            <w:shd w:val="clear" w:color="auto" w:fill="EEF2F1"/>
          </w:tcPr>
          <w:p>
            <w:r>
              <w:rPr>
                <w:sz w:val="19"/>
              </w:rPr>
              <w:t>Attivare (stagionale)</w:t>
            </w:r>
          </w:p>
        </w:tc>
        <w:tc>
          <w:tcPr>
            <w:tcW w:type="dxa" w:w="1728"/>
            <w:shd w:val="clear" w:color="auto" w:fill="EEF2F1"/>
          </w:tcPr>
          <w:p>
            <w:r>
              <w:rPr>
                <w:sz w:val="19"/>
              </w:rPr>
              <w:t>media</w:t>
            </w:r>
          </w:p>
        </w:tc>
        <w:tc>
          <w:tcPr>
            <w:tcW w:type="dxa" w:w="1728"/>
            <w:shd w:val="clear" w:color="auto" w:fill="EEF2F1"/>
          </w:tcPr>
          <w:p>
            <w:r>
              <w:rPr>
                <w:sz w:val="19"/>
              </w:rPr>
              <w:t>58% della domanda misurata è ad alta competizione: la search advertising presidia le query commerciali dove l'organico non arriva in tempo, su doppia finestra (anticipo di mercato + sotto-data).</w:t>
            </w:r>
          </w:p>
        </w:tc>
        <w:tc>
          <w:tcPr>
            <w:tcW w:type="dxa" w:w="1728"/>
            <w:shd w:val="clear" w:color="auto" w:fill="EEF2F1"/>
          </w:tcPr>
          <w:p>
            <w:r>
              <w:rPr>
                <w:sz w:val="19"/>
              </w:rPr>
              <w:t>—</w:t>
            </w:r>
          </w:p>
        </w:tc>
      </w:tr>
      <w:tr>
        <w:tc>
          <w:tcPr>
            <w:tcW w:type="dxa" w:w="1728"/>
          </w:tcPr>
          <w:p>
            <w:r>
              <w:rPr>
                <w:sz w:val="19"/>
              </w:rPr>
              <w:t>Metasearch (Google Hotel Ads, Trivago)</w:t>
            </w:r>
          </w:p>
        </w:tc>
        <w:tc>
          <w:tcPr>
            <w:tcW w:type="dxa" w:w="1728"/>
          </w:tcPr>
          <w:p>
            <w:r>
              <w:rPr>
                <w:sz w:val="19"/>
              </w:rPr>
              <w:t>Non ora</w:t>
            </w:r>
          </w:p>
        </w:tc>
        <w:tc>
          <w:tcPr>
            <w:tcW w:type="dxa" w:w="1728"/>
          </w:tcPr>
          <w:p>
            <w:r>
              <w:rPr>
                <w:sz w:val="19"/>
              </w:rPr>
              <w:t>bassa</w:t>
            </w:r>
          </w:p>
        </w:tc>
        <w:tc>
          <w:tcPr>
            <w:tcW w:type="dxa" w:w="1728"/>
          </w:tcPr>
          <w:p>
            <w:r>
              <w:rPr>
                <w:sz w:val="19"/>
              </w:rPr>
              <w:t>Dipendenza non verificata: booking diretto presidiato + rate parity.</w:t>
            </w:r>
          </w:p>
        </w:tc>
        <w:tc>
          <w:tcPr>
            <w:tcW w:type="dxa" w:w="1728"/>
          </w:tcPr>
          <w:p>
            <w:r>
              <w:rPr>
                <w:sz w:val="19"/>
              </w:rPr>
              <w:t>booking_diretto, rate_parity</w:t>
            </w:r>
          </w:p>
        </w:tc>
      </w:tr>
      <w:tr>
        <w:tc>
          <w:tcPr>
            <w:tcW w:type="dxa" w:w="1728"/>
            <w:shd w:val="clear" w:color="auto" w:fill="EEF2F1"/>
          </w:tcPr>
          <w:p>
            <w:r>
              <w:rPr>
                <w:sz w:val="19"/>
              </w:rPr>
              <w:t>Sito &amp; booking diretto</w:t>
            </w:r>
          </w:p>
        </w:tc>
        <w:tc>
          <w:tcPr>
            <w:tcW w:type="dxa" w:w="1728"/>
            <w:shd w:val="clear" w:color="auto" w:fill="EEF2F1"/>
          </w:tcPr>
          <w:p>
            <w:r>
              <w:rPr>
                <w:sz w:val="19"/>
              </w:rPr>
              <w:t>Attivare</w:t>
            </w:r>
          </w:p>
        </w:tc>
        <w:tc>
          <w:tcPr>
            <w:tcW w:type="dxa" w:w="1728"/>
            <w:shd w:val="clear" w:color="auto" w:fill="EEF2F1"/>
          </w:tcPr>
          <w:p>
            <w:r>
              <w:rPr>
                <w:sz w:val="19"/>
              </w:rPr>
              <w:t>media</w:t>
            </w:r>
          </w:p>
        </w:tc>
        <w:tc>
          <w:tcPr>
            <w:tcW w:type="dxa" w:w="1728"/>
            <w:shd w:val="clear" w:color="auto" w:fill="EEF2F1"/>
          </w:tcPr>
          <w:p>
            <w:r>
              <w:rPr>
                <w:sz w:val="19"/>
              </w:rPr>
              <w:t>Canale diretto: consolidare la conversione e spingere la quota diretta. La pagina offerte esiste (https://www.hoteldiamond.it/offerte-hotel-riccione/): ottimizzarla (schema Offer, CTA, prenota-prima).</w:t>
            </w:r>
          </w:p>
        </w:tc>
        <w:tc>
          <w:tcPr>
            <w:tcW w:type="dxa" w:w="1728"/>
            <w:shd w:val="clear" w:color="auto" w:fill="EEF2F1"/>
          </w:tcPr>
          <w:p>
            <w:r>
              <w:rPr>
                <w:sz w:val="19"/>
              </w:rPr>
              <w:t>—</w:t>
            </w:r>
          </w:p>
        </w:tc>
      </w:tr>
      <w:tr>
        <w:tc>
          <w:tcPr>
            <w:tcW w:type="dxa" w:w="1728"/>
          </w:tcPr>
          <w:p>
            <w:r>
              <w:rPr>
                <w:sz w:val="19"/>
              </w:rPr>
              <w:t>OTA / distribuzione</w:t>
            </w:r>
          </w:p>
        </w:tc>
        <w:tc>
          <w:tcPr>
            <w:tcW w:type="dxa" w:w="1728"/>
          </w:tcPr>
          <w:p>
            <w:r>
              <w:rPr>
                <w:sz w:val="19"/>
              </w:rPr>
              <w:t>Mantenere</w:t>
            </w:r>
          </w:p>
        </w:tc>
        <w:tc>
          <w:tcPr>
            <w:tcW w:type="dxa" w:w="1728"/>
          </w:tcPr>
          <w:p>
            <w:r>
              <w:rPr>
                <w:sz w:val="19"/>
              </w:rPr>
              <w:t>bassa</w:t>
            </w:r>
          </w:p>
        </w:tc>
        <w:tc>
          <w:tcPr>
            <w:tcW w:type="dxa" w:w="1728"/>
          </w:tcPr>
          <w:p>
            <w:r>
              <w:rPr>
                <w:sz w:val="19"/>
              </w:rPr>
              <w:t>Distribuzione OTA da governare per il billboard effect: mantenere presenza e visibilità, spostando progressivamente quota sul canale diretto quando la parità regge.</w:t>
            </w:r>
          </w:p>
        </w:tc>
        <w:tc>
          <w:tcPr>
            <w:tcW w:type="dxa" w:w="1728"/>
          </w:tcPr>
          <w:p>
            <w:r>
              <w:rPr>
                <w:sz w:val="19"/>
              </w:rPr>
              <w:t>booking_diretto, rate_parity</w:t>
            </w:r>
          </w:p>
        </w:tc>
      </w:tr>
      <w:tr>
        <w:tc>
          <w:tcPr>
            <w:tcW w:type="dxa" w:w="1728"/>
            <w:shd w:val="clear" w:color="auto" w:fill="EEF2F1"/>
          </w:tcPr>
          <w:p>
            <w:r>
              <w:rPr>
                <w:sz w:val="19"/>
              </w:rPr>
              <w:t>Social organico</w:t>
            </w:r>
          </w:p>
        </w:tc>
        <w:tc>
          <w:tcPr>
            <w:tcW w:type="dxa" w:w="1728"/>
            <w:shd w:val="clear" w:color="auto" w:fill="EEF2F1"/>
          </w:tcPr>
          <w:p>
            <w:r>
              <w:rPr>
                <w:sz w:val="19"/>
              </w:rPr>
              <w:t>Rafforzare</w:t>
            </w:r>
          </w:p>
        </w:tc>
        <w:tc>
          <w:tcPr>
            <w:tcW w:type="dxa" w:w="1728"/>
            <w:shd w:val="clear" w:color="auto" w:fill="EEF2F1"/>
          </w:tcPr>
          <w:p>
            <w:r>
              <w:rPr>
                <w:sz w:val="19"/>
              </w:rPr>
              <w:t>media</w:t>
            </w:r>
          </w:p>
        </w:tc>
        <w:tc>
          <w:tcPr>
            <w:tcW w:type="dxa" w:w="1728"/>
            <w:shd w:val="clear" w:color="auto" w:fill="EEF2F1"/>
          </w:tcPr>
          <w:p>
            <w:r>
              <w:rPr>
                <w:sz w:val="19"/>
              </w:rPr>
              <w:t>9 asset visuali forti nel profilo (piscina/benessere/fronte mare/terrazza): raccogliere contenuto in stagione e potenziare la presenza organica.</w:t>
            </w:r>
          </w:p>
        </w:tc>
        <w:tc>
          <w:tcPr>
            <w:tcW w:type="dxa" w:w="1728"/>
            <w:shd w:val="clear" w:color="auto" w:fill="EEF2F1"/>
          </w:tcPr>
          <w:p>
            <w:r>
              <w:rPr>
                <w:sz w:val="19"/>
              </w:rPr>
              <w:t>—</w:t>
            </w:r>
          </w:p>
        </w:tc>
      </w:tr>
      <w:tr>
        <w:tc>
          <w:tcPr>
            <w:tcW w:type="dxa" w:w="1728"/>
          </w:tcPr>
          <w:p>
            <w:r>
              <w:rPr>
                <w:sz w:val="19"/>
              </w:rPr>
              <w:t>Social advertising</w:t>
            </w:r>
          </w:p>
        </w:tc>
        <w:tc>
          <w:tcPr>
            <w:tcW w:type="dxa" w:w="1728"/>
          </w:tcPr>
          <w:p>
            <w:r>
              <w:rPr>
                <w:sz w:val="19"/>
              </w:rPr>
              <w:t>Mantenere</w:t>
            </w:r>
          </w:p>
        </w:tc>
        <w:tc>
          <w:tcPr>
            <w:tcW w:type="dxa" w:w="1728"/>
          </w:tcPr>
          <w:p>
            <w:r>
              <w:rPr>
                <w:sz w:val="19"/>
              </w:rPr>
              <w:t>bassa</w:t>
            </w:r>
          </w:p>
        </w:tc>
        <w:tc>
          <w:tcPr>
            <w:tcW w:type="dxa" w:w="1728"/>
          </w:tcPr>
          <w:p>
            <w:r>
              <w:rPr>
                <w:sz w:val="19"/>
              </w:rPr>
              <w:t>Advertising social da attivare su segmenti e finestre stagionali definite: finestra ancorata al picco reale.</w:t>
            </w:r>
          </w:p>
        </w:tc>
        <w:tc>
          <w:tcPr>
            <w:tcW w:type="dxa" w:w="1728"/>
          </w:tcPr>
          <w:p>
            <w:r>
              <w:rPr>
                <w:sz w:val="19"/>
              </w:rPr>
              <w:t>—</w:t>
            </w:r>
          </w:p>
        </w:tc>
      </w:tr>
      <w:tr>
        <w:tc>
          <w:tcPr>
            <w:tcW w:type="dxa" w:w="1728"/>
            <w:shd w:val="clear" w:color="auto" w:fill="EEF2F1"/>
          </w:tcPr>
          <w:p>
            <w:r>
              <w:rPr>
                <w:sz w:val="19"/>
              </w:rPr>
              <w:t>Email &amp; CRM</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Quota famiglie+coppie contenuta (44%): CRM utile ma non prioritario sul mix attuale.</w:t>
            </w:r>
          </w:p>
        </w:tc>
        <w:tc>
          <w:tcPr>
            <w:tcW w:type="dxa" w:w="1728"/>
            <w:shd w:val="clear" w:color="auto" w:fill="EEF2F1"/>
          </w:tcPr>
          <w:p>
            <w:r>
              <w:rPr>
                <w:sz w:val="19"/>
              </w:rPr>
              <w:t>—</w:t>
            </w:r>
          </w:p>
        </w:tc>
      </w:tr>
      <w:tr>
        <w:tc>
          <w:tcPr>
            <w:tcW w:type="dxa" w:w="1728"/>
          </w:tcPr>
          <w:p>
            <w:r>
              <w:rPr>
                <w:sz w:val="19"/>
              </w:rPr>
              <w:t>Reputation &amp; gestione recensioni</w:t>
            </w:r>
          </w:p>
        </w:tc>
        <w:tc>
          <w:tcPr>
            <w:tcW w:type="dxa" w:w="1728"/>
          </w:tcPr>
          <w:p>
            <w:r>
              <w:rPr>
                <w:sz w:val="19"/>
              </w:rPr>
              <w:t>Mantenere</w:t>
            </w:r>
          </w:p>
        </w:tc>
        <w:tc>
          <w:tcPr>
            <w:tcW w:type="dxa" w:w="1728"/>
          </w:tcPr>
          <w:p>
            <w:r>
              <w:rPr>
                <w:sz w:val="19"/>
              </w:rPr>
              <w:t>bassa</w:t>
            </w:r>
          </w:p>
        </w:tc>
        <w:tc>
          <w:tcPr>
            <w:tcW w:type="dxa" w:w="1728"/>
          </w:tcPr>
          <w:p>
            <w:r>
              <w:rPr>
                <w:sz w:val="19"/>
              </w:rPr>
              <w:t>Presidio reputazione da mantenere (canale trasversale al journey).</w:t>
            </w:r>
          </w:p>
        </w:tc>
        <w:tc>
          <w:tcPr>
            <w:tcW w:type="dxa" w:w="1728"/>
          </w:tcPr>
          <w:p>
            <w:r>
              <w:rPr>
                <w:sz w:val="19"/>
              </w:rPr>
              <w:t>—</w:t>
            </w:r>
          </w:p>
        </w:tc>
      </w:tr>
      <w:tr>
        <w:tc>
          <w:tcPr>
            <w:tcW w:type="dxa" w:w="1728"/>
            <w:shd w:val="clear" w:color="auto" w:fill="EEF2F1"/>
          </w:tcPr>
          <w:p>
            <w:r>
              <w:rPr>
                <w:sz w:val="19"/>
              </w:rPr>
              <w:t>AEO / assistenti AI</w:t>
            </w:r>
          </w:p>
        </w:tc>
        <w:tc>
          <w:tcPr>
            <w:tcW w:type="dxa" w:w="1728"/>
            <w:shd w:val="clear" w:color="auto" w:fill="EEF2F1"/>
          </w:tcPr>
          <w:p>
            <w:r>
              <w:rPr>
                <w:sz w:val="19"/>
              </w:rPr>
              <w:t>Mantenere</w:t>
            </w:r>
          </w:p>
        </w:tc>
        <w:tc>
          <w:tcPr>
            <w:tcW w:type="dxa" w:w="1728"/>
            <w:shd w:val="clear" w:color="auto" w:fill="EEF2F1"/>
          </w:tcPr>
          <w:p>
            <w:r>
              <w:rPr>
                <w:sz w:val="19"/>
              </w:rPr>
              <w:t>bassa</w:t>
            </w:r>
          </w:p>
        </w:tc>
        <w:tc>
          <w:tcPr>
            <w:tcW w:type="dxa" w:w="1728"/>
            <w:shd w:val="clear" w:color="auto" w:fill="EEF2F1"/>
          </w:tcPr>
          <w:p>
            <w:r>
              <w:rPr>
                <w:sz w:val="19"/>
              </w:rPr>
              <w:t>Audit AEO parziale/provvisorio (copertura provider incompleta): trattare come segnale, non come baseline consolidata.</w:t>
            </w:r>
          </w:p>
        </w:tc>
        <w:tc>
          <w:tcPr>
            <w:tcW w:type="dxa" w:w="1728"/>
            <w:shd w:val="clear" w:color="auto" w:fill="EEF2F1"/>
          </w:tcPr>
          <w:p>
            <w:r>
              <w:rPr>
                <w:sz w:val="19"/>
              </w:rPr>
              <w:t>—</w:t>
            </w:r>
          </w:p>
        </w:tc>
      </w:tr>
      <w:tr>
        <w:tc>
          <w:tcPr>
            <w:tcW w:type="dxa" w:w="1728"/>
          </w:tcPr>
          <w:p>
            <w:r>
              <w:rPr>
                <w:sz w:val="19"/>
              </w:rPr>
              <w:t>Mercato DACH (area di lingua tedesca)</w:t>
            </w:r>
          </w:p>
        </w:tc>
        <w:tc>
          <w:tcPr>
            <w:tcW w:type="dxa" w:w="1728"/>
          </w:tcPr>
          <w:p>
            <w:r>
              <w:rPr>
                <w:sz w:val="19"/>
              </w:rPr>
              <w:t>Mantenere</w:t>
            </w:r>
          </w:p>
        </w:tc>
        <w:tc>
          <w:tcPr>
            <w:tcW w:type="dxa" w:w="1728"/>
          </w:tcPr>
          <w:p>
            <w:r>
              <w:rPr>
                <w:sz w:val="19"/>
              </w:rPr>
              <w:t>bassa</w:t>
            </w:r>
          </w:p>
        </w:tc>
        <w:tc>
          <w:tcPr>
            <w:tcW w:type="dxa" w:w="1728"/>
          </w:tcPr>
          <w:p>
            <w:r>
              <w:rPr>
                <w:sz w:val="19"/>
              </w:rPr>
              <w:t>Presenza DACH marginale (tedeschi 1%).</w:t>
            </w:r>
          </w:p>
        </w:tc>
        <w:tc>
          <w:tcPr>
            <w:tcW w:type="dxa" w:w="1728"/>
          </w:tcPr>
          <w:p>
            <w:r>
              <w:rPr>
                <w:sz w:val="19"/>
              </w:rPr>
              <w:t>—</w:t>
            </w:r>
          </w:p>
        </w:tc>
      </w:tr>
      <w:tr>
        <w:tc>
          <w:tcPr>
            <w:tcW w:type="dxa" w:w="1728"/>
            <w:shd w:val="clear" w:color="auto" w:fill="EEF2F1"/>
          </w:tcPr>
          <w:p>
            <w:r>
              <w:rPr>
                <w:sz w:val="19"/>
              </w:rPr>
              <w:t>Segmento business / MICE</w:t>
            </w:r>
          </w:p>
        </w:tc>
        <w:tc>
          <w:tcPr>
            <w:tcW w:type="dxa" w:w="1728"/>
            <w:shd w:val="clear" w:color="auto" w:fill="EEF2F1"/>
          </w:tcPr>
          <w:p>
            <w:r>
              <w:rPr>
                <w:sz w:val="19"/>
              </w:rPr>
              <w:t>Non ora</w:t>
            </w:r>
          </w:p>
        </w:tc>
        <w:tc>
          <w:tcPr>
            <w:tcW w:type="dxa" w:w="1728"/>
            <w:shd w:val="clear" w:color="auto" w:fill="EEF2F1"/>
          </w:tcPr>
          <w:p>
            <w:r>
              <w:rPr>
                <w:sz w:val="19"/>
              </w:rPr>
              <w:t>bassa</w:t>
            </w:r>
          </w:p>
        </w:tc>
        <w:tc>
          <w:tcPr>
            <w:tcW w:type="dxa" w:w="1728"/>
            <w:shd w:val="clear" w:color="auto" w:fill="EEF2F1"/>
          </w:tcPr>
          <w:p>
            <w:r>
              <w:rPr>
                <w:sz w:val="19"/>
              </w:rPr>
              <w:t>Domanda business marginale (4%) pur con fiere in stagione.</w:t>
            </w:r>
          </w:p>
        </w:tc>
        <w:tc>
          <w:tcPr>
            <w:tcW w:type="dxa" w:w="1728"/>
            <w:shd w:val="clear" w:color="auto" w:fill="EEF2F1"/>
          </w:tcPr>
          <w:p>
            <w:r>
              <w:rPr>
                <w:sz w:val="19"/>
              </w:rPr>
              <w:t>—</w:t>
            </w:r>
          </w:p>
        </w:tc>
      </w:tr>
      <w:tr>
        <w:tc>
          <w:tcPr>
            <w:tcW w:type="dxa" w:w="1728"/>
          </w:tcPr>
          <w:p>
            <w:r>
              <w:rPr>
                <w:sz w:val="19"/>
              </w:rPr>
              <w:t>Local &amp; Google Business Profile</w:t>
            </w:r>
          </w:p>
        </w:tc>
        <w:tc>
          <w:tcPr>
            <w:tcW w:type="dxa" w:w="1728"/>
          </w:tcPr>
          <w:p>
            <w:r>
              <w:rPr>
                <w:sz w:val="19"/>
              </w:rPr>
              <w:t>Mantenere</w:t>
            </w:r>
          </w:p>
        </w:tc>
        <w:tc>
          <w:tcPr>
            <w:tcW w:type="dxa" w:w="1728"/>
          </w:tcPr>
          <w:p>
            <w:r>
              <w:rPr>
                <w:sz w:val="19"/>
              </w:rPr>
              <w:t>bassa</w:t>
            </w:r>
          </w:p>
        </w:tc>
        <w:tc>
          <w:tcPr>
            <w:tcW w:type="dxa" w:w="1728"/>
          </w:tcPr>
          <w:p>
            <w:r>
              <w:rPr>
                <w:sz w:val="19"/>
              </w:rPr>
              <w:t>Dati strutturati di attività locale presenti (con indirizzo): mantenere con gestione recensioni.</w:t>
            </w:r>
          </w:p>
        </w:tc>
        <w:tc>
          <w:tcPr>
            <w:tcW w:type="dxa" w:w="1728"/>
          </w:tcPr>
          <w:p>
            <w:r>
              <w:rPr>
                <w:sz w:val="19"/>
              </w:rPr>
              <w:t>—</w:t>
            </w:r>
          </w:p>
        </w:tc>
      </w:tr>
    </w:tbl>
    <w:p>
      <w:pPr>
        <w:spacing w:after="160"/>
      </w:pPr>
    </w:p>
    <w:p>
      <w:r>
        <w:t>La matrice di canale fotografa una struttura che oggi non presidia quasi nulla del proprio diretto potenziale: zero parole chiave posizionate in top 10 sulle 24 query di domanda attribuibile alla destinazione (~72.340 ricerche/mese), inclusa «hotel riccione sul mare» (6.600/mese) che è quasi un sinonimo della USP più citata nelle recensioni. Questo significa che oggi la visibilità passa quasi obbligatoriamente dagli OTA e dai portali competitor, non per una scelta ma per assenza di alternativa costruita. La priorità operativa è quindi doppia e sequenziale: colmare prima il gap organico/locale che è gratuito e cumulativo, e solo dopo — con parity verificata — spingere budget su metasearch e diretto. Business/fiere resta un canale da tenere in manutenzione leggera, non da rilanciare ora, perché il sito ospita decine di pagine evento scadute che vanno prima bonificate.</w:t>
      </w:r>
    </w:p>
    <w:p>
      <w:pPr>
        <w:spacing w:before="160" w:after="40"/>
      </w:pPr>
      <w:r>
        <w:rPr>
          <w:b/>
          <w:color w:val="2F5D62"/>
          <w:sz w:val="24"/>
        </w:rPr>
        <w:t>Obiettivi misurabili</w:t>
      </w:r>
    </w:p>
    <w:p>
      <w:pPr>
        <w:pStyle w:val="ListBullet"/>
      </w:pPr>
      <w:r>
        <w:t>Presidiare in top 10 un primo nucleo delle 24 keyword di domanda oggi non intercettata, a partire dalle query coerenti con la posizione (v. sez. 06 per i KPI numerici)</w:t>
      </w:r>
    </w:p>
    <w:p>
      <w:pPr>
        <w:pStyle w:val="ListBullet"/>
      </w:pPr>
      <w:r>
        <w:t>Mappare e sanare le pagine evento/fiera scadute individuate nell'audit, come obiettivo di processo propedeutico a qualunque riattivazione del canale business</w:t>
      </w:r>
    </w:p>
    <w:p>
      <w:pPr>
        <w:pStyle w:val="ListBullet"/>
      </w:pPr>
      <w:r>
        <w:t>Verificare la rate parity diretto/OTA sui principali metasearch come obiettivo di processo, prima di allocare budget incrementale su quel canale</w:t>
      </w:r>
    </w:p>
    <w:p>
      <w:pPr>
        <w:pStyle w:val="ListBullet"/>
      </w:pPr>
      <w:r>
        <w:t>Misurare la quota diretta reale e impostarne il tracciamento, oggi non disponibile come baseline</w:t>
      </w:r>
    </w:p>
    <w:p>
      <w:pPr>
        <w:spacing w:before="160" w:after="40"/>
      </w:pPr>
      <w:r>
        <w:rPr>
          <w:b/>
          <w:color w:val="2F5D62"/>
          <w:sz w:val="24"/>
        </w:rPr>
        <w:t>Azioni</w:t>
      </w:r>
    </w:p>
    <w:p>
      <w:r>
        <w:t>Il canale organico/locale è quello su cui agire per primo e senza condizioni di sblocco: la struttura non presidia nessuna delle query di destinazione ad alto volume, mentre la posizione centrale è il tratto più riconosciuto e premiato dagli ospiti già acquisiti. Restare fuori da queste ricerche equivale a cedere gratuitamente visibilità a portali e competitor diretti che oggi la intercettano al posto della struttura. L'azione è costruire e ottimizzare contenuti di atterraggio specifici per cluster di query — posizione/mare, formula family, pensione completa — con dati strutturati mancanti (FAQ, LocalBusiness, review) da completare per rendere questi contenuti leggibili anche dagli assistenti AI, dato che l'audit ha rilevato assenza della struttura nelle risposte OpenAI misurate. Il Google Business Profile, oggi senza dati di completezza disponibili, è la base di partenza a costo marginale nullo e va verificato e arricchito in parallelo.</w:t>
      </w:r>
    </w:p>
    <w:p>
      <w:r>
        <w:t>Il metasearch (Google Hotel Ads e assimilati) è un canale a priorità condizionata: ha senso spingerlo solo dopo aver verificato che il prezzo diretto non sia esposto come più caro dell'OTA sugli stessi comparatori, condizione oggi non verificata nei dati disponibili. Investire prima del controllo di parity rischierebbe di finanziare clic che poi convertono comunque su Booking o Expedia, vanificando l'obiettivo di spostare margine verso il diretto. L'azione è quindi un audit di parity sui principali motori di comparazione, da eseguire come primo passo propedeutico, in parallelo al test di conversione del motore di prenotazione proprietario (velocità, step, metodi di pagamento), anch'esso privo di dati di baseline.</w:t>
      </w:r>
    </w:p>
    <w:p>
      <w:r>
        <w:t>Il canale business/fiere va mantenuto in presidio leggero ma non rilanciato ora: il sito conserva un numero rilevante di pagine evento indicizzate e scadute (edizioni passate di fiere ricorrenti nell'area), che intercettano male la domanda corrente e rischiano di comunicare un'immagine di trascuratezza proprio nel segmento — quello fieristico — in cui la posizione centrale e il parcheggio privato sarebbero leve competitive concrete. L'azione prioritaria non è quindi investire in nuova spinta promozionale sul business, ma bonificare l'esistente: audit sistematico delle pagine evento, rimozione o redirect di quelle obsolete, creazione di un template riusabile per le edizioni correnti e future. Solo dopo questa bonifica ha senso valutare un presidio più attivo (RFP, rate corporate, presenza su portali B2B), oggi non verificato nei dati.</w:t>
      </w:r>
    </w:p>
    <w:p>
      <w:r>
        <w:t>I canali social (Instagram, Facebook) restano fuori dal nucleo prioritario di questa sezione per assenza di dati di attività ed engagement: senza una baseline anche minima non è possibile assegnare loro un verdetto fondato, e vanno trattati come input da raccogliere prima di pianificare un investimento dedicato.</w:t>
      </w:r>
    </w:p>
    <w:p>
      <w:pPr>
        <w:spacing w:before="160" w:after="40"/>
      </w:pPr>
      <w:r>
        <w:rPr>
          <w:b/>
          <w:color w:val="2F5D62"/>
          <w:sz w:val="24"/>
        </w:rPr>
        <w:t>KPI</w:t>
      </w:r>
    </w:p>
    <w:p>
      <w:r>
        <w:t>Gli indicatori numerici di controllo per ciascun canale sono raccolti in sez. 06; qui si richiama solo la logica di sequenza: prima la copertura organica/locale (keyword presidiate, completezza del profilo Google), poi la verifica di parity come cancello d'ingresso al metasearch, infine la bonifica delle pagine evento come cancello d'ingresso a un eventuale rilancio del business.</w:t>
      </w:r>
    </w:p>
    <w:p>
      <w:pPr>
        <w:spacing w:before="160" w:after="40"/>
      </w:pPr>
      <w:r>
        <w:rPr>
          <w:b/>
          <w:color w:val="2F5D62"/>
          <w:sz w:val="24"/>
        </w:rPr>
        <w:t>Note esecutive</w:t>
      </w:r>
    </w:p>
    <w:p>
      <w:pPr>
        <w:pStyle w:val="ListBullet"/>
      </w:pPr>
      <w:r>
        <w:t>Il metasearch non va attivato con budget incrementale finché l'audit di parity diretto/OTA non è stato completato: è una dipendenza bloccante, non una raccomandazione generica</w:t>
      </w:r>
    </w:p>
    <w:p>
      <w:pPr>
        <w:pStyle w:val="ListBullet"/>
      </w:pPr>
      <w:r>
        <w:t>La bonifica delle pagine evento scadute è un prerequisito tecnico a basso costo e va programmata prima di qualunque nuova produzione di contenuto per il segmento fieristico</w:t>
      </w:r>
    </w:p>
    <w:p>
      <w:pPr>
        <w:pStyle w:val="ListBullet"/>
      </w:pPr>
      <w:r>
        <w:t>I dati strutturati mancanti (FAQ, LocalBusiness, review, breadcrumb) sono una dipendenza trasversale sia per l'organico sia per la leggibilità da parte degli assistenti AI, e vanno risolti nello stesso intervento tecnico</w:t>
      </w:r>
    </w:p>
    <w:p>
      <w:pPr>
        <w:pStyle w:val="ListBullet"/>
      </w:pPr>
      <w:r>
        <w:t>Le caratteristiche di parity, performance del motore di prenotazione e attività social restano, allo stato attuale, input mancanti: la sequenza d'azione qui proposta ne tiene conto subordinando ogni spinta a canale alla loro verifica preliminare</w:t>
      </w:r>
    </w:p>
    <w:p>
      <w:r>
        <w:br w:type="page"/>
      </w:r>
    </w:p>
    <w:p>
      <w:pPr>
        <w:spacing w:after="0"/>
      </w:pPr>
      <w:r>
        <w:rPr>
          <w:b/>
          <w:color w:val="2F5D62"/>
          <w:sz w:val="18"/>
        </w:rPr>
        <w:t>SEZIONE 04</w:t>
      </w:r>
    </w:p>
    <w:p>
      <w:pPr>
        <w:spacing w:after="200"/>
        <w:pBdr>
          <w:bottom w:val="single" w:sz="18" w:space="6" w:color="2F5D62"/>
        </w:pBdr>
      </w:pPr>
      <w:r>
        <w:rPr>
          <w:b/>
          <w:color w:val="1A1A2E"/>
          <w:sz w:val="40"/>
        </w:rPr>
        <w:t>Distribuzione &amp; mercati</w:t>
      </w:r>
    </w:p>
    <w:p>
      <w:r>
        <w:t>La distribuzione di Diamond Experience Hotel oggi vive quasi interamente sul mercato italiano e sugli OTA: la lingua delle recensioni Booking è italiana nel 91,7% dei casi, con tedesco, inglese e polacco relegati a quote marginali (rispettivamente 1,3%, 2,3% e 1,7%). Non si tratta di un difetto da correggere in astratto, ma di un dato di partenza: gli OTA restano oggi il canale di scoperta naturale per un hotel con autorità organica debole e domanda a marchio pressoché nulla (v. sez. 03), e vanno governati — curando scheda e listing — piuttosto che combattuti. Il vero spazio di manovra non è sostituire gli OTA, ma decidere dove e come testare una prima apertura internazionale mirata, senza disperdere budget su mercati che oggi non esistono nel dato reale.</w:t>
      </w:r>
    </w:p>
    <w:p>
      <w:pPr>
        <w:spacing w:before="160" w:after="40"/>
      </w:pPr>
      <w:r>
        <w:rPr>
          <w:b/>
          <w:color w:val="2F5D62"/>
          <w:sz w:val="24"/>
        </w:rPr>
        <w:t>Obiettivi misurabili</w:t>
      </w:r>
    </w:p>
    <w:p>
      <w:pPr>
        <w:pStyle w:val="ListBullet"/>
      </w:pPr>
      <w:r>
        <w:t>Portare a verifica completa la qualità di scheda e foto su tutti gli OTA attivi entro la chiusura stagionale (obiettivo di processo: baseline di parity e completezza non disponibile)</w:t>
      </w:r>
    </w:p>
    <w:p>
      <w:pPr>
        <w:pStyle w:val="ListBullet"/>
      </w:pPr>
      <w:r>
        <w:t>Validare con un test pilota a budget contenuto l'apertura di un mercato non italiano, prima di qualsiasi scala (obiettivo di processo, non quota di mercato)</w:t>
      </w:r>
    </w:p>
    <w:p>
      <w:pPr>
        <w:pStyle w:val="ListBullet"/>
      </w:pPr>
      <w:r>
        <w:t>Impostare il tracciamento della quota diretta vs intermediata per canale e mercato (obiettivo di processo: la baseline oggi non è disponibile — v. sez. 08)</w:t>
      </w:r>
    </w:p>
    <w:p>
      <w:pPr>
        <w:spacing w:before="160" w:after="40"/>
      </w:pPr>
      <w:r>
        <w:rPr>
          <w:b/>
          <w:color w:val="2F5D62"/>
          <w:sz w:val="24"/>
        </w:rPr>
        <w:t>Azioni</w:t>
      </w:r>
    </w:p>
    <w:p>
      <w:pPr>
        <w:pStyle w:val="ListBullet"/>
      </w:pPr>
      <w:r>
        <w:t>La quasi totalità della domanda intercettata è italiana e lo resterà come base del fatturato: su questo nucleo l'azione prioritaria non è acquisire nuovi mercati ma consolidare la presenza sugli OTA generalisti italiani con contenuti coerenti al posizionamento coppie/famiglie già definito in sez. 02, e verificare che foto e descrizioni raccontino il prodotto reale (SPA, posizione, family plan) senza promettere uno standard che le aree comuni datate non reggono ancora — un disallineamento che il diagnostico segnala come rischio proprio nella fase di validazione pre-prenotazione.</w:t>
      </w:r>
    </w:p>
    <w:p>
      <w:pPr>
        <w:pStyle w:val="ListBullet"/>
      </w:pPr>
      <w:r>
        <w:t>Il mercato tedesco e nord-europeo è oggi un segnale debolissimo (poche decine di recensioni in totale su tre lingue) e non basta a giustificare una campagna strutturata: va trattato come un'ipotesi da testare, non come un mercato acquisito. L'azione coerente è un pilota contenuto — una landing in lingua tedesca sulla pagina SPA/benessere, già la USP più coerente con il profilo del turista DACH, abbinata a un piccolo test a pagamento nella finestra di prenotazione lunga tipica di quel mercato (primavera inoltrata, con evitamento del cuore di agosto) — da misurare prima di ogni ulteriore investimento.</w:t>
      </w:r>
    </w:p>
    <w:p>
      <w:pPr>
        <w:pStyle w:val="ListBullet"/>
      </w:pPr>
      <w:r>
        <w:t>In assenza di una tabella di connettività voli a monte di questa sezione, qualunque mercato estero ulteriore (polacco, francese, russo) resta sotto la soglia minima per un'azione dedicata: va solo monitorato nel tempo tramite la lingua delle nuove recensioni, senza aprire canali o contenuti specifici finché il segnale non cresce.</w:t>
      </w:r>
    </w:p>
    <w:p>
      <w:pPr>
        <w:pStyle w:val="ListBullet"/>
      </w:pPr>
      <w:r>
        <w:t>Il canale diretto non può oggi essere spinto con campagne a pagamento perché manca ogni dato su parity di prezzo verso Google Hotel Ads/Trivago/Kayak e su performance del booking engine (velocità, step, metodi di pagamento): investire prima di questa verifica rischia di finanziare clic che poi convertono comunque sull'OTA parallelo. L'azione è un audit di parity e un test di conversione del booking engine come prerequisito, non come attività parallela al lancio di campagne dirette.</w:t>
      </w:r>
    </w:p>
    <w:p>
      <w:pPr>
        <w:pStyle w:val="ListBullet"/>
      </w:pPr>
      <w:r>
        <w:t>Il collegamento strutturale con l'hotel Royal (spostamenti di camera non concordati, piscina condivisa) è un tema che tocca la distribuzione nel momento critico del check-in e rischia di generare recensioni negative proprio sui portali dove la struttura già fatica a tenere il passo dei competitor: va chiarito nella scheda OTA stessa (descrizione accurata di cosa è condiviso e cosa no) per ridurre il disallineamento tra aspettativa prenotata e esperienza vissuta.</w:t>
      </w:r>
    </w:p>
    <w:p>
      <w:pPr>
        <w:spacing w:before="160" w:after="40"/>
      </w:pPr>
      <w:r>
        <w:rPr>
          <w:b/>
          <w:color w:val="2F5D62"/>
          <w:sz w:val="24"/>
        </w:rPr>
        <w:t>KPI</w:t>
      </w:r>
    </w:p>
    <w:p>
      <w:r>
        <w:t>I KPI numerici di canale e mercato (quota diretta, esito del pilota DACH, parity) sono raccolti in sez. 06 — Measurement; qui si definiscono solo le azioni che li alimentano.</w:t>
      </w:r>
    </w:p>
    <w:p>
      <w:pPr>
        <w:spacing w:before="160" w:after="40"/>
      </w:pPr>
      <w:r>
        <w:rPr>
          <w:b/>
          <w:color w:val="2F5D62"/>
          <w:sz w:val="24"/>
        </w:rPr>
        <w:t>Note esecutive</w:t>
      </w:r>
    </w:p>
    <w:p>
      <w:pPr>
        <w:pStyle w:val="ListBullet"/>
      </w:pPr>
      <w:r>
        <w:t>Il mercato italiano resta e resterà il bacino principale: nessuna azione di questa sezione deve sottrarre budget o attenzione al presidio OTA domestico mentre si testano mercati esteri.</w:t>
      </w:r>
    </w:p>
    <w:p>
      <w:pPr>
        <w:pStyle w:val="ListBullet"/>
      </w:pPr>
      <w:r>
        <w:t>Il pilota tedesco va dimensionato come test, non come piano di internazionalizzazione: scala solo se il test restituisce segnali misurabili di domanda reale.</w:t>
      </w:r>
    </w:p>
    <w:p>
      <w:pPr>
        <w:pStyle w:val="ListBullet"/>
      </w:pPr>
      <w:r>
        <w:t>L'audit di parity e booking engine è un prerequisito tecnico, non un'azione di comunicazione: va completato prima di qualunque campagna sul canale diretto.</w:t>
      </w:r>
    </w:p>
    <w:p>
      <w:pPr>
        <w:pStyle w:val="ListBullet"/>
      </w:pPr>
      <w:r>
        <w:t>La chiarezza sulla relazione con l'hotel Royal in scheda OTA è un'azione a costo pressoché nullo e ad alta priorità, perché incide sulla distribuzione tanto quanto sulla reputazione.</w:t>
      </w:r>
    </w:p>
    <w:p>
      <w:r>
        <w:br w:type="page"/>
      </w:r>
    </w:p>
    <w:p>
      <w:pPr>
        <w:spacing w:after="0"/>
      </w:pPr>
      <w:r>
        <w:rPr>
          <w:b/>
          <w:color w:val="2F5D62"/>
          <w:sz w:val="18"/>
        </w:rPr>
        <w:t>SEZIONE 05</w:t>
      </w:r>
    </w:p>
    <w:p>
      <w:pPr>
        <w:spacing w:after="200"/>
        <w:pBdr>
          <w:bottom w:val="single" w:sz="18" w:space="6" w:color="2F5D62"/>
        </w:pBdr>
      </w:pPr>
      <w:r>
        <w:rPr>
          <w:b/>
          <w:color w:val="1A1A2E"/>
          <w:sz w:val="40"/>
        </w:rPr>
        <w:t>Roadmap 12 mesi</w:t>
      </w:r>
    </w:p>
    <w:p>
      <w:pPr>
        <w:spacing w:before="160" w:after="40"/>
      </w:pPr>
      <w:r>
        <w:rPr>
          <w:b/>
          <w:color w:val="2F5D62"/>
          <w:sz w:val="24"/>
        </w:rPr>
        <w:t>Vincoli operativi della roadmap (decision record)</w:t>
      </w:r>
    </w:p>
    <w:p>
      <w:r>
        <w:t>Archetipo operativo: stagionale puro (~mag-set). Mesi di apertura: mag, giu, lug, ago, set (assunti, da confermare col cliente).</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Vincolo</w:t>
            </w:r>
          </w:p>
        </w:tc>
        <w:tc>
          <w:tcPr>
            <w:tcW w:type="dxa" w:w="2880"/>
            <w:shd w:val="clear" w:color="auto" w:fill="2F5D62"/>
          </w:tcPr>
          <w:p>
            <w:r>
              <w:rPr>
                <w:b/>
                <w:color w:val="FFFFFF"/>
                <w:sz w:val="19"/>
              </w:rPr>
              <w:t>Quando</w:t>
            </w:r>
          </w:p>
        </w:tc>
        <w:tc>
          <w:tcPr>
            <w:tcW w:type="dxa" w:w="2880"/>
            <w:shd w:val="clear" w:color="auto" w:fill="2F5D62"/>
          </w:tcPr>
          <w:p>
            <w:r>
              <w:rPr>
                <w:b/>
                <w:color w:val="FFFFFF"/>
                <w:sz w:val="19"/>
              </w:rPr>
              <w:t>Perché</w:t>
            </w:r>
          </w:p>
        </w:tc>
      </w:tr>
      <w:tr>
        <w:tc>
          <w:tcPr>
            <w:tcW w:type="dxa" w:w="2880"/>
          </w:tcPr>
          <w:p>
            <w:r>
              <w:rPr>
                <w:sz w:val="19"/>
              </w:rPr>
              <w:t>Chiusura listino/pacchetti</w:t>
            </w:r>
          </w:p>
        </w:tc>
        <w:tc>
          <w:tcPr>
            <w:tcW w:type="dxa" w:w="2880"/>
          </w:tcPr>
          <w:p>
            <w:r>
              <w:rPr>
                <w:sz w:val="19"/>
              </w:rPr>
              <w:t>gen</w:t>
            </w:r>
          </w:p>
        </w:tc>
        <w:tc>
          <w:tcPr>
            <w:tcW w:type="dxa" w:w="2880"/>
          </w:tcPr>
          <w:p>
            <w:r>
              <w:rPr>
                <w:sz w:val="19"/>
              </w:rPr>
              <w:t>vendite prenotabili prima dell'apertura delle finestre di mercato</w:t>
            </w:r>
          </w:p>
        </w:tc>
      </w:tr>
      <w:tr>
        <w:tc>
          <w:tcPr>
            <w:tcW w:type="dxa" w:w="2880"/>
            <w:shd w:val="clear" w:color="auto" w:fill="EEF2F1"/>
          </w:tcPr>
          <w:p>
            <w:r>
              <w:rPr>
                <w:sz w:val="19"/>
              </w:rPr>
              <w:t>Apertura vendite per mercato</w:t>
            </w:r>
          </w:p>
        </w:tc>
        <w:tc>
          <w:tcPr>
            <w:tcW w:type="dxa" w:w="2880"/>
            <w:shd w:val="clear" w:color="auto" w:fill="EEF2F1"/>
          </w:tcPr>
          <w:p>
            <w:r>
              <w:rPr>
                <w:sz w:val="19"/>
              </w:rPr>
              <w:t>IT_estate gen</w:t>
            </w:r>
          </w:p>
        </w:tc>
        <w:tc>
          <w:tcPr>
            <w:tcW w:type="dxa" w:w="2880"/>
            <w:shd w:val="clear" w:color="auto" w:fill="EEF2F1"/>
          </w:tcPr>
          <w:p>
            <w:r>
              <w:rPr>
                <w:sz w:val="19"/>
              </w:rPr>
              <w:t>anticipo derivato dalle finestre di prenotazione</w:t>
            </w:r>
          </w:p>
        </w:tc>
      </w:tr>
      <w:tr>
        <w:tc>
          <w:tcPr>
            <w:tcW w:type="dxa" w:w="2880"/>
          </w:tcPr>
          <w:p>
            <w:r>
              <w:rPr>
                <w:sz w:val="19"/>
              </w:rPr>
              <w:t>Cantiere (setup tecnico/contenuti)</w:t>
            </w:r>
          </w:p>
        </w:tc>
        <w:tc>
          <w:tcPr>
            <w:tcW w:type="dxa" w:w="2880"/>
          </w:tcPr>
          <w:p>
            <w:r>
              <w:rPr>
                <w:sz w:val="19"/>
              </w:rPr>
              <w:t>gen, feb, mar, apr, ott, nov, dic</w:t>
            </w:r>
          </w:p>
        </w:tc>
        <w:tc>
          <w:tcPr>
            <w:tcW w:type="dxa" w:w="2880"/>
          </w:tcPr>
          <w:p>
            <w:r>
              <w:rPr>
                <w:sz w:val="19"/>
              </w:rPr>
              <w:t>mai in stagione: sta nei mesi di chiusura</w:t>
            </w:r>
          </w:p>
        </w:tc>
      </w:tr>
      <w:tr>
        <w:tc>
          <w:tcPr>
            <w:tcW w:type="dxa" w:w="2880"/>
            <w:shd w:val="clear" w:color="auto" w:fill="EEF2F1"/>
          </w:tcPr>
          <w:p>
            <w:r>
              <w:rPr>
                <w:sz w:val="19"/>
              </w:rPr>
              <w:t>Raccolta foto/video</w:t>
            </w:r>
          </w:p>
        </w:tc>
        <w:tc>
          <w:tcPr>
            <w:tcW w:type="dxa" w:w="2880"/>
            <w:shd w:val="clear" w:color="auto" w:fill="EEF2F1"/>
          </w:tcPr>
          <w:p>
            <w:r>
              <w:rPr>
                <w:sz w:val="19"/>
              </w:rPr>
              <w:t>mag, giu, lug, ago, set</w:t>
            </w:r>
          </w:p>
        </w:tc>
        <w:tc>
          <w:tcPr>
            <w:tcW w:type="dxa" w:w="2880"/>
            <w:shd w:val="clear" w:color="auto" w:fill="EEF2F1"/>
          </w:tcPr>
          <w:p>
            <w:r>
              <w:rPr>
                <w:sz w:val="19"/>
              </w:rPr>
              <w:t>a hotel aperto: l'hotel chiuso non si fotografa</w:t>
            </w:r>
          </w:p>
        </w:tc>
      </w:tr>
      <w:tr>
        <w:tc>
          <w:tcPr>
            <w:tcW w:type="dxa" w:w="2880"/>
          </w:tcPr>
          <w:p>
            <w:r>
              <w:rPr>
                <w:sz w:val="19"/>
              </w:rPr>
              <w:t>Fiere in stagione (gate business)</w:t>
            </w:r>
          </w:p>
        </w:tc>
        <w:tc>
          <w:tcPr>
            <w:tcW w:type="dxa" w:w="2880"/>
          </w:tcPr>
          <w:p>
            <w:r>
              <w:rPr>
                <w:sz w:val="19"/>
              </w:rPr>
              <w:t>RiminiWellness, World Ducati Week, Meeting di Rimini, Tecna</w:t>
            </w:r>
          </w:p>
        </w:tc>
        <w:tc>
          <w:tcPr>
            <w:tcW w:type="dxa" w:w="2880"/>
          </w:tcPr>
          <w:p>
            <w:r>
              <w:rPr>
                <w:sz w:val="19"/>
              </w:rPr>
              <w:t>eccezioni presidiabili: la domanda fiere fuori apertura resta 'non ora'</w:t>
            </w:r>
          </w:p>
        </w:tc>
      </w:tr>
      <w:tr>
        <w:tc>
          <w:tcPr>
            <w:tcW w:type="dxa" w:w="2880"/>
            <w:shd w:val="clear" w:color="auto" w:fill="EEF2F1"/>
          </w:tcPr>
          <w:p>
            <w:r>
              <w:rPr>
                <w:sz w:val="19"/>
              </w:rPr>
              <w:t>Picchi evento di destinazione</w:t>
            </w:r>
          </w:p>
        </w:tc>
        <w:tc>
          <w:tcPr>
            <w:tcW w:type="dxa" w:w="2880"/>
            <w:shd w:val="clear" w:color="auto" w:fill="EEF2F1"/>
          </w:tcPr>
          <w:p>
            <w:r>
              <w:rPr>
                <w:sz w:val="19"/>
              </w:rPr>
              <w:t>Notte Rosa (2026-06-19)</w:t>
            </w:r>
          </w:p>
        </w:tc>
        <w:tc>
          <w:tcPr>
            <w:tcW w:type="dxa" w:w="2880"/>
            <w:shd w:val="clear" w:color="auto" w:fill="EEF2F1"/>
          </w:tcPr>
          <w:p>
            <w:r>
              <w:rPr>
                <w:sz w:val="19"/>
              </w:rPr>
              <w:t>picchi di domanda weekend da nominare nella roadmap</w:t>
            </w:r>
          </w:p>
        </w:tc>
      </w:tr>
    </w:tbl>
    <w:p>
      <w:pPr>
        <w:spacing w:after="160"/>
      </w:pPr>
    </w:p>
    <w:p>
      <w:pPr>
        <w:spacing w:before="160" w:after="40"/>
      </w:pPr>
      <w:r>
        <w:rPr>
          <w:b/>
          <w:color w:val="2F5D62"/>
          <w:sz w:val="24"/>
        </w:rPr>
        <w:t>Finestre di campagna per segmento (ancorate al picco reale)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Segmento</w:t>
            </w:r>
          </w:p>
        </w:tc>
        <w:tc>
          <w:tcPr>
            <w:tcW w:type="dxa" w:w="2160"/>
            <w:shd w:val="clear" w:color="auto" w:fill="2F5D62"/>
          </w:tcPr>
          <w:p>
            <w:r>
              <w:rPr>
                <w:b/>
                <w:color w:val="FFFFFF"/>
                <w:sz w:val="19"/>
              </w:rPr>
              <w:t>Avvio campagna</w:t>
            </w:r>
          </w:p>
        </w:tc>
        <w:tc>
          <w:tcPr>
            <w:tcW w:type="dxa" w:w="2160"/>
            <w:shd w:val="clear" w:color="auto" w:fill="2F5D62"/>
          </w:tcPr>
          <w:p>
            <w:r>
              <w:rPr>
                <w:b/>
                <w:color w:val="FFFFFF"/>
                <w:sz w:val="19"/>
              </w:rPr>
              <w:t>Mese di picco</w:t>
            </w:r>
          </w:p>
        </w:tc>
        <w:tc>
          <w:tcPr>
            <w:tcW w:type="dxa" w:w="2160"/>
            <w:shd w:val="clear" w:color="auto" w:fill="2F5D62"/>
          </w:tcPr>
          <w:p>
            <w:r>
              <w:rPr>
                <w:b/>
                <w:color w:val="FFFFFF"/>
                <w:sz w:val="19"/>
              </w:rPr>
              <w:t>Anticipo (mesi)</w:t>
            </w:r>
          </w:p>
        </w:tc>
      </w:tr>
      <w:tr>
        <w:tc>
          <w:tcPr>
            <w:tcW w:type="dxa" w:w="2160"/>
          </w:tcPr>
          <w:p>
            <w:r>
              <w:rPr>
                <w:sz w:val="19"/>
              </w:rPr>
              <w:t>Famiglie</w:t>
            </w:r>
          </w:p>
        </w:tc>
        <w:tc>
          <w:tcPr>
            <w:tcW w:type="dxa" w:w="2160"/>
          </w:tcPr>
          <w:p>
            <w:r>
              <w:rPr>
                <w:sz w:val="19"/>
              </w:rPr>
              <w:t>mar</w:t>
            </w:r>
          </w:p>
        </w:tc>
        <w:tc>
          <w:tcPr>
            <w:tcW w:type="dxa" w:w="2160"/>
          </w:tcPr>
          <w:p>
            <w:r>
              <w:rPr>
                <w:sz w:val="19"/>
              </w:rPr>
              <w:t>giu</w:t>
            </w:r>
          </w:p>
        </w:tc>
        <w:tc>
          <w:tcPr>
            <w:tcW w:type="dxa" w:w="2160"/>
          </w:tcPr>
          <w:p>
            <w:r>
              <w:rPr>
                <w:sz w:val="19"/>
              </w:rPr>
              <w:t>3</w:t>
            </w:r>
          </w:p>
        </w:tc>
      </w:tr>
      <w:tr>
        <w:tc>
          <w:tcPr>
            <w:tcW w:type="dxa" w:w="2160"/>
            <w:shd w:val="clear" w:color="auto" w:fill="EEF2F1"/>
          </w:tcPr>
          <w:p>
            <w:r>
              <w:rPr>
                <w:sz w:val="19"/>
              </w:rPr>
              <w:t>Coppie</w:t>
            </w:r>
          </w:p>
        </w:tc>
        <w:tc>
          <w:tcPr>
            <w:tcW w:type="dxa" w:w="2160"/>
            <w:shd w:val="clear" w:color="auto" w:fill="EEF2F1"/>
          </w:tcPr>
          <w:p>
            <w:r>
              <w:rPr>
                <w:sz w:val="19"/>
              </w:rPr>
              <w:t>apr</w:t>
            </w:r>
          </w:p>
        </w:tc>
        <w:tc>
          <w:tcPr>
            <w:tcW w:type="dxa" w:w="2160"/>
            <w:shd w:val="clear" w:color="auto" w:fill="EEF2F1"/>
          </w:tcPr>
          <w:p>
            <w:r>
              <w:rPr>
                <w:sz w:val="19"/>
              </w:rPr>
              <w:t>giu</w:t>
            </w:r>
          </w:p>
        </w:tc>
        <w:tc>
          <w:tcPr>
            <w:tcW w:type="dxa" w:w="2160"/>
            <w:shd w:val="clear" w:color="auto" w:fill="EEF2F1"/>
          </w:tcPr>
          <w:p>
            <w:r>
              <w:rPr>
                <w:sz w:val="19"/>
              </w:rPr>
              <w:t>2</w:t>
            </w:r>
          </w:p>
        </w:tc>
      </w:tr>
      <w:tr>
        <w:tc>
          <w:tcPr>
            <w:tcW w:type="dxa" w:w="2160"/>
          </w:tcPr>
          <w:p>
            <w:r>
              <w:rPr>
                <w:sz w:val="19"/>
              </w:rPr>
              <w:t>DACH</w:t>
            </w:r>
          </w:p>
        </w:tc>
        <w:tc>
          <w:tcPr>
            <w:tcW w:type="dxa" w:w="2160"/>
          </w:tcPr>
          <w:p>
            <w:r>
              <w:rPr>
                <w:sz w:val="19"/>
              </w:rPr>
              <w:t>mar</w:t>
            </w:r>
          </w:p>
        </w:tc>
        <w:tc>
          <w:tcPr>
            <w:tcW w:type="dxa" w:w="2160"/>
          </w:tcPr>
          <w:p>
            <w:r>
              <w:rPr>
                <w:sz w:val="19"/>
              </w:rPr>
              <w:t>giu</w:t>
            </w:r>
          </w:p>
        </w:tc>
        <w:tc>
          <w:tcPr>
            <w:tcW w:type="dxa" w:w="2160"/>
          </w:tcPr>
          <w:p>
            <w:r>
              <w:rPr>
                <w:sz w:val="19"/>
              </w:rPr>
              <w:t>3</w:t>
            </w:r>
          </w:p>
        </w:tc>
      </w:tr>
    </w:tbl>
    <w:p>
      <w:pPr>
        <w:spacing w:after="160"/>
      </w:pPr>
    </w:p>
    <w:p>
      <w:r>
        <w:t>Diamond Experience Hotel è una struttura stagionale: il piano assume un'apertura indicativa da aprile/maggio a settembre (archetipo stagionale, input da confermare con la proprietà — v. sez. 08), con un cantiere tecnico-contenutistico da collocare interamente nei mesi di chiusura e una raccolta di materiale fotografico/video da realizzare invece a struttura aperta, quando camere, SPA e terrazza sono vive e occupate. La sequenza dei prossimi dodici mesi segue questa alternanza: chiusura come cantiere, apertura come vetrina e come stagione di vendita, con il listino e le pagine di prodotto pronte prima che la domanda dei mercati esteri e italiana si attivi, non all'avvio della stagione.</w:t>
      </w:r>
    </w:p>
    <w:p>
      <w:pPr>
        <w:spacing w:before="160" w:after="40"/>
      </w:pPr>
      <w:r>
        <w:rPr>
          <w:b/>
          <w:color w:val="2F5D62"/>
          <w:sz w:val="24"/>
        </w:rPr>
        <w:t>Obiettivi misurabili</w:t>
      </w:r>
    </w:p>
    <w:p>
      <w:pPr>
        <w:pStyle w:val="ListBullet"/>
      </w:pPr>
      <w:r>
        <w:t>Chiudere il cantiere tecnico (dati strutturati, pagine evento, contenuti famiglia/coppia) prima della riapertura, senza code aperte in stagione</w:t>
      </w:r>
    </w:p>
    <w:p>
      <w:pPr>
        <w:pStyle w:val="ListBullet"/>
      </w:pPr>
      <w:r>
        <w:t>Completare la raccolta fotografica/video di camere rinnovate, SPA e terrazza entro la prima metà della stagione aperta</w:t>
      </w:r>
    </w:p>
    <w:p>
      <w:pPr>
        <w:pStyle w:val="ListBullet"/>
      </w:pPr>
      <w:r>
        <w:t>Pubblicare il listino e i pacchetti (formula, family plan, spiaggia inclusa) in anticipo rispetto all'apertura della domanda sui mercati prioritari — v. sez. 06 per i KPI numerici</w:t>
      </w:r>
    </w:p>
    <w:p>
      <w:pPr>
        <w:spacing w:before="160" w:after="40"/>
      </w:pPr>
      <w:r>
        <w:rPr>
          <w:b/>
          <w:color w:val="2F5D62"/>
          <w:sz w:val="24"/>
        </w:rPr>
        <w:t>Azioni</w:t>
      </w:r>
    </w:p>
    <w:p>
      <w:r>
        <w:t>Il cantiere invernale è la finestra in cui si recupera il ritardo organico e si sana il sito senza penalizzare l'ospite in casa: è qui che vanno implementati i dati strutturati mancanti (FAQ, LocalBusiness, review, breadcrumb), rifatte o rimosse le pagine evento scadute già mappate in sede di canale, e costruite le pagine di prodotto per coppie e famiglie con il lessico corretto (formula, family plan, spiaggia inclusa). Spostare anche solo una parte di questo lavoro in stagione significa sottrarre tempo allo staff nel momento di massima pressione operativa, quindi la sequenza non è negoziabile: prima il cantiere, poi l'apertura.</w:t>
      </w:r>
    </w:p>
    <w:p>
      <w:r>
        <w:t>All'apertura della struttura si attiva invece la raccolta di materiale reale — camere, SPA sui tre livelli, terrazza panoramica, momenti di vita in piscina e colazione — che diventa la base editoriale per il resto dell'anno: un hotel chiuso non si può fotografare, quindi questa fase non è anticipabile né rimandabile oltre la stagione in corso. In parallelo, con la struttura piena, la comunicazione resta leggera e operativa: risposta alle recensioni, aggiornamento social dal campo, gestione delle tariffe in prossimità delle date per la coda di domanda italiana last-minute.</w:t>
      </w:r>
    </w:p>
    <w:p>
      <w:r>
        <w:t>Il listino e i pacchetti vanno resi prenotabili prima che si apra la finestra di decisione dei mercati che prenotano con largo anticipo: muoversi dopo significa risultare invisibili nel momento in cui la coppia o la famiglia tedesca o nord-europea sta già decidendo. Per questo la pubblicazione delle pagine prodotto e l'apertura vendite vanno ancorate al cantiere invernale, non all'inizio stagione, con una comunicazione dedicata agli ospiti già acquisiti (newsletter di riapertura, vantaggio riservato ai ripetenti) che precede l'apertura della domanda di mercato.</w:t>
      </w:r>
    </w:p>
    <w:p>
      <w:r>
        <w:t>Le fiere e i convegni che ricorrono sul territorio (Tecnocasa, ExpoDental, Rimini Wellness, Tecnargilla) cadono in larga parte fuori dal periodo di apertura della struttura: per un hotel stagionale questo rende il canale fieristico non presidiabile nella maggior parte dell'anno, salvo le edizioni che ricadono nei mesi di apertura, che vanno trattate come eccezioni da coprire con una pagina e un'offerta dedicata, non come programma continuativo. Gli eventi che cadono invece dentro la stagione aperta — tra cui i grandi appuntamenti balneari del territorio — vanno innestati nel calendario come picchi di domanda weekend, con disponibilità e comunicazione pronte in prossimità delle date, non con largo anticipo.</w:t>
      </w:r>
    </w:p>
    <w:p>
      <w:pPr>
        <w:spacing w:before="160" w:after="40"/>
      </w:pPr>
      <w:r>
        <w:rPr>
          <w:b/>
          <w:color w:val="2F5D62"/>
          <w:sz w:val="24"/>
        </w:rPr>
        <w:t>Timeline operativa (fasi, non date assolute)</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Fase</w:t>
            </w:r>
          </w:p>
        </w:tc>
        <w:tc>
          <w:tcPr>
            <w:tcW w:type="dxa" w:w="2160"/>
            <w:shd w:val="clear" w:color="auto" w:fill="2F5D62"/>
          </w:tcPr>
          <w:p>
            <w:r>
              <w:rPr>
                <w:b/>
                <w:color w:val="FFFFFF"/>
                <w:sz w:val="19"/>
              </w:rPr>
              <w:t>Finestra</w:t>
            </w:r>
          </w:p>
        </w:tc>
        <w:tc>
          <w:tcPr>
            <w:tcW w:type="dxa" w:w="2160"/>
            <w:shd w:val="clear" w:color="auto" w:fill="2F5D62"/>
          </w:tcPr>
          <w:p>
            <w:r>
              <w:rPr>
                <w:b/>
                <w:color w:val="FFFFFF"/>
                <w:sz w:val="19"/>
              </w:rPr>
              <w:t>Attività chiave</w:t>
            </w:r>
          </w:p>
        </w:tc>
        <w:tc>
          <w:tcPr>
            <w:tcW w:type="dxa" w:w="2160"/>
            <w:shd w:val="clear" w:color="auto" w:fill="2F5D62"/>
          </w:tcPr>
          <w:p>
            <w:r>
              <w:rPr>
                <w:b/>
                <w:color w:val="FFFFFF"/>
                <w:sz w:val="19"/>
              </w:rPr>
              <w:t>Owner</w:t>
            </w:r>
          </w:p>
        </w:tc>
      </w:tr>
      <w:tr>
        <w:tc>
          <w:tcPr>
            <w:tcW w:type="dxa" w:w="2160"/>
          </w:tcPr>
          <w:p>
            <w:r>
              <w:rPr>
                <w:sz w:val="19"/>
              </w:rPr>
              <w:t>Cantiere tecnico-contenutistico</w:t>
            </w:r>
          </w:p>
        </w:tc>
        <w:tc>
          <w:tcPr>
            <w:tcW w:type="dxa" w:w="2160"/>
          </w:tcPr>
          <w:p>
            <w:r>
              <w:rPr>
                <w:sz w:val="19"/>
              </w:rPr>
              <w:t>Periodo di chiusura</w:t>
            </w:r>
          </w:p>
        </w:tc>
        <w:tc>
          <w:tcPr>
            <w:tcW w:type="dxa" w:w="2160"/>
          </w:tcPr>
          <w:p>
            <w:r>
              <w:rPr>
                <w:sz w:val="19"/>
              </w:rPr>
              <w:t>Dati strutturati (FAQ, LocalBusiness, review, breadcrumb); refresh/rimozione pagine evento scadute; pagine prodotto coppie e famiglie con lessico formula/family plan/spiaggia; setup tracciamento diretto</w:t>
            </w:r>
          </w:p>
        </w:tc>
        <w:tc>
          <w:tcPr>
            <w:tcW w:type="dxa" w:w="2160"/>
          </w:tcPr>
          <w:p>
            <w:r>
              <w:rPr>
                <w:sz w:val="19"/>
              </w:rPr>
              <w:t>Agenzia + referente digitale struttura</w:t>
            </w:r>
          </w:p>
        </w:tc>
      </w:tr>
      <w:tr>
        <w:tc>
          <w:tcPr>
            <w:tcW w:type="dxa" w:w="2160"/>
            <w:shd w:val="clear" w:color="auto" w:fill="EEF2F1"/>
          </w:tcPr>
          <w:p>
            <w:r>
              <w:rPr>
                <w:sz w:val="19"/>
              </w:rPr>
              <w:t>Apertura vendite &amp; comunicazione ripetenti</w:t>
            </w:r>
          </w:p>
        </w:tc>
        <w:tc>
          <w:tcPr>
            <w:tcW w:type="dxa" w:w="2160"/>
            <w:shd w:val="clear" w:color="auto" w:fill="EEF2F1"/>
          </w:tcPr>
          <w:p>
            <w:r>
              <w:rPr>
                <w:sz w:val="19"/>
              </w:rPr>
              <w:t>Chiusura, prima della riapertura</w:t>
            </w:r>
          </w:p>
        </w:tc>
        <w:tc>
          <w:tcPr>
            <w:tcW w:type="dxa" w:w="2160"/>
            <w:shd w:val="clear" w:color="auto" w:fill="EEF2F1"/>
          </w:tcPr>
          <w:p>
            <w:r>
              <w:rPr>
                <w:sz w:val="19"/>
              </w:rPr>
              <w:t>Newsletter di riapertura con data visibile; vantaggio riservato ai ripetenti; pubblicazione listino e pacchetti; apertura vendite sui mercati con lead time più lungo</w:t>
            </w:r>
          </w:p>
        </w:tc>
        <w:tc>
          <w:tcPr>
            <w:tcW w:type="dxa" w:w="2160"/>
            <w:shd w:val="clear" w:color="auto" w:fill="EEF2F1"/>
          </w:tcPr>
          <w:p>
            <w:r>
              <w:rPr>
                <w:sz w:val="19"/>
              </w:rPr>
              <w:t>Direzione + agenzia</w:t>
            </w:r>
          </w:p>
        </w:tc>
      </w:tr>
      <w:tr>
        <w:tc>
          <w:tcPr>
            <w:tcW w:type="dxa" w:w="2160"/>
          </w:tcPr>
          <w:p>
            <w:r>
              <w:rPr>
                <w:sz w:val="19"/>
              </w:rPr>
              <w:t>Riapertura struttura</w:t>
            </w:r>
          </w:p>
        </w:tc>
        <w:tc>
          <w:tcPr>
            <w:tcW w:type="dxa" w:w="2160"/>
          </w:tcPr>
          <w:p>
            <w:r>
              <w:rPr>
                <w:sz w:val="19"/>
              </w:rPr>
              <w:t>Avvio stagione</w:t>
            </w:r>
          </w:p>
        </w:tc>
        <w:tc>
          <w:tcPr>
            <w:tcW w:type="dxa" w:w="2160"/>
          </w:tcPr>
          <w:p>
            <w:r>
              <w:rPr>
                <w:sz w:val="19"/>
              </w:rPr>
              <w:t>Avvio raccolta fotografica/video (camere, SPA, terrazza, vita struttura); comunicazione leggera (recensioni, social dal campo)</w:t>
            </w:r>
          </w:p>
        </w:tc>
        <w:tc>
          <w:tcPr>
            <w:tcW w:type="dxa" w:w="2160"/>
          </w:tcPr>
          <w:p>
            <w:r>
              <w:rPr>
                <w:sz w:val="19"/>
              </w:rPr>
              <w:t>Staff struttura + agenzia</w:t>
            </w:r>
          </w:p>
        </w:tc>
      </w:tr>
      <w:tr>
        <w:tc>
          <w:tcPr>
            <w:tcW w:type="dxa" w:w="2160"/>
            <w:shd w:val="clear" w:color="auto" w:fill="EEF2F1"/>
          </w:tcPr>
          <w:p>
            <w:r>
              <w:rPr>
                <w:sz w:val="19"/>
              </w:rPr>
              <w:t>Presidio in stagione</w:t>
            </w:r>
          </w:p>
        </w:tc>
        <w:tc>
          <w:tcPr>
            <w:tcW w:type="dxa" w:w="2160"/>
            <w:shd w:val="clear" w:color="auto" w:fill="EEF2F1"/>
          </w:tcPr>
          <w:p>
            <w:r>
              <w:rPr>
                <w:sz w:val="19"/>
              </w:rPr>
              <w:t>Stagione aperta</w:t>
            </w:r>
          </w:p>
        </w:tc>
        <w:tc>
          <w:tcPr>
            <w:tcW w:type="dxa" w:w="2160"/>
            <w:shd w:val="clear" w:color="auto" w:fill="EEF2F1"/>
          </w:tcPr>
          <w:p>
            <w:r>
              <w:rPr>
                <w:sz w:val="19"/>
              </w:rPr>
              <w:t>Gestione prenotazioni a ridosso delle date (coda last-minute italiana); copertura eventi/fiere che ricadono in stagione con pagina e offerta dedicata; monitoraggio reputazione</w:t>
            </w:r>
          </w:p>
        </w:tc>
        <w:tc>
          <w:tcPr>
            <w:tcW w:type="dxa" w:w="2160"/>
            <w:shd w:val="clear" w:color="auto" w:fill="EEF2F1"/>
          </w:tcPr>
          <w:p>
            <w:r>
              <w:rPr>
                <w:sz w:val="19"/>
              </w:rPr>
              <w:t>Staff struttura</w:t>
            </w:r>
          </w:p>
        </w:tc>
      </w:tr>
      <w:tr>
        <w:tc>
          <w:tcPr>
            <w:tcW w:type="dxa" w:w="2160"/>
          </w:tcPr>
          <w:p>
            <w:r>
              <w:rPr>
                <w:sz w:val="19"/>
              </w:rPr>
              <w:t>Chiusura stagione &amp; passaggio al cantiere successivo</w:t>
            </w:r>
          </w:p>
        </w:tc>
        <w:tc>
          <w:tcPr>
            <w:tcW w:type="dxa" w:w="2160"/>
          </w:tcPr>
          <w:p>
            <w:r>
              <w:rPr>
                <w:sz w:val="19"/>
              </w:rPr>
              <w:t>Fine stagione</w:t>
            </w:r>
          </w:p>
        </w:tc>
        <w:tc>
          <w:tcPr>
            <w:tcW w:type="dxa" w:w="2160"/>
          </w:tcPr>
          <w:p>
            <w:r>
              <w:rPr>
                <w:sz w:val="19"/>
              </w:rPr>
              <w:t>Raccolta materiale finale, bilancio KPI (v. sez. 06), pianificazione del cantiere invernale successivo</w:t>
            </w:r>
          </w:p>
        </w:tc>
        <w:tc>
          <w:tcPr>
            <w:tcW w:type="dxa" w:w="2160"/>
          </w:tcPr>
          <w:p>
            <w:r>
              <w:rPr>
                <w:sz w:val="19"/>
              </w:rPr>
              <w:t>Direzione + agenzia</w:t>
            </w:r>
          </w:p>
        </w:tc>
      </w:tr>
    </w:tbl>
    <w:p>
      <w:pPr>
        <w:spacing w:after="160"/>
      </w:pPr>
    </w:p>
    <w:p>
      <w:pPr>
        <w:spacing w:before="160" w:after="40"/>
      </w:pPr>
      <w:r>
        <w:rPr>
          <w:b/>
          <w:color w:val="2F5D62"/>
          <w:sz w:val="24"/>
        </w:rPr>
        <w:t>KPI</w:t>
      </w:r>
    </w:p>
    <w:p>
      <w:pPr>
        <w:pStyle w:val="ListBullet"/>
      </w:pPr>
      <w:r>
        <w:t>I KPI numerici di controllo per ciascuna fase sono definiti in sez. 06 (Misurazione): qui si tracciano solo gli stati di avanzamento (cantiere chiuso/aperto, listino pubblicato, raccolta materiale completata).</w:t>
      </w:r>
    </w:p>
    <w:p>
      <w:pPr>
        <w:spacing w:before="160" w:after="40"/>
      </w:pPr>
      <w:r>
        <w:rPr>
          <w:b/>
          <w:color w:val="2F5D62"/>
          <w:sz w:val="24"/>
        </w:rPr>
        <w:t>Note esecutive</w:t>
      </w:r>
    </w:p>
    <w:p>
      <w:pPr>
        <w:pStyle w:val="ListBullet"/>
      </w:pPr>
      <w:r>
        <w:t>I mesi di apertura/chiusura sono un'ipotesi di archetipo stagionale, da validare con la proprietà: la sequenza delle fasi resta valida a prescindere dalle date esatte</w:t>
      </w:r>
    </w:p>
    <w:p>
      <w:pPr>
        <w:pStyle w:val="ListBullet"/>
      </w:pPr>
      <w:r>
        <w:t>Nessun intervento tecnico o di content va programmato nei mesi di apertura: comprometterebbe operatività e qualità del servizio nel picco</w:t>
      </w:r>
    </w:p>
    <w:p>
      <w:pPr>
        <w:pStyle w:val="ListBullet"/>
      </w:pPr>
      <w:r>
        <w:t>Le scadenze di pubblicazione listino/pacchetti vanno fissate con margine sufficiente rispetto alla finestra di decisione dei mercati esteri a lead time lungo, prima dell'apertura della domanda italiana di stagione</w:t>
      </w:r>
    </w:p>
    <w:p>
      <w:r>
        <w:br w:type="page"/>
      </w:r>
    </w:p>
    <w:p>
      <w:pPr>
        <w:spacing w:after="0"/>
      </w:pPr>
      <w:r>
        <w:rPr>
          <w:b/>
          <w:color w:val="2F5D62"/>
          <w:sz w:val="18"/>
        </w:rPr>
        <w:t>SEZIONE 06</w:t>
      </w:r>
    </w:p>
    <w:p>
      <w:pPr>
        <w:spacing w:after="200"/>
        <w:pBdr>
          <w:bottom w:val="single" w:sz="18" w:space="6" w:color="2F5D62"/>
        </w:pBdr>
      </w:pPr>
      <w:r>
        <w:rPr>
          <w:b/>
          <w:color w:val="1A1A2E"/>
          <w:sz w:val="40"/>
        </w:rPr>
        <w:t>Misurazione &amp; governance</w:t>
      </w:r>
    </w:p>
    <w:p>
      <w:pPr>
        <w:spacing w:before="160" w:after="40"/>
      </w:pPr>
      <w:r>
        <w:rPr>
          <w:b/>
          <w:color w:val="2F5D62"/>
          <w:sz w:val="24"/>
        </w:rPr>
        <w:t>KPI nord (baseline → target o obiettivo di processo)</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Target</w:t>
            </w:r>
          </w:p>
        </w:tc>
        <w:tc>
          <w:tcPr>
            <w:tcW w:type="dxa" w:w="2160"/>
            <w:shd w:val="clear" w:color="auto" w:fill="2F5D62"/>
          </w:tcPr>
          <w:p>
            <w:r>
              <w:rPr>
                <w:b/>
                <w:color w:val="FFFFFF"/>
                <w:sz w:val="19"/>
              </w:rPr>
              <w:t>Obiettivo di processo</w:t>
            </w:r>
          </w:p>
        </w:tc>
      </w:tr>
      <w:tr>
        <w:tc>
          <w:tcPr>
            <w:tcW w:type="dxa" w:w="2160"/>
          </w:tcPr>
          <w:p>
            <w:r>
              <w:rPr>
                <w:sz w:val="19"/>
              </w:rPr>
              <w:t>Volume recensioni (tutte le piattaforme)</w:t>
            </w:r>
          </w:p>
        </w:tc>
        <w:tc>
          <w:tcPr>
            <w:tcW w:type="dxa" w:w="2160"/>
          </w:tcPr>
          <w:p>
            <w:r>
              <w:rPr>
                <w:sz w:val="19"/>
              </w:rPr>
              <w:t>137</w:t>
            </w:r>
          </w:p>
        </w:tc>
        <w:tc>
          <w:tcPr>
            <w:tcW w:type="dxa" w:w="2160"/>
          </w:tcPr>
          <w:p>
            <w:r>
              <w:rPr>
                <w:sz w:val="19"/>
              </w:rPr>
              <w:t>314</w:t>
            </w:r>
          </w:p>
        </w:tc>
        <w:tc>
          <w:tcPr>
            <w:tcW w:type="dxa" w:w="2160"/>
          </w:tcPr>
          <w:p>
            <w:r>
              <w:rPr>
                <w:sz w:val="19"/>
              </w:rPr>
              <w:t>—</w:t>
            </w:r>
          </w:p>
        </w:tc>
      </w:tr>
      <w:tr>
        <w:tc>
          <w:tcPr>
            <w:tcW w:type="dxa" w:w="2160"/>
            <w:shd w:val="clear" w:color="auto" w:fill="EEF2F1"/>
          </w:tcPr>
          <w:p>
            <w:r>
              <w:rPr>
                <w:sz w:val="19"/>
              </w:rPr>
              <w:t>Quota di prenotazione diretta</w:t>
            </w:r>
          </w:p>
        </w:tc>
        <w:tc>
          <w:tcPr>
            <w:tcW w:type="dxa" w:w="2160"/>
            <w:shd w:val="clear" w:color="auto" w:fill="EEF2F1"/>
          </w:tcPr>
          <w:p>
            <w:r>
              <w:rPr>
                <w:sz w:val="19"/>
              </w:rPr>
              <w:t>—</w:t>
            </w:r>
          </w:p>
        </w:tc>
        <w:tc>
          <w:tcPr>
            <w:tcW w:type="dxa" w:w="2160"/>
            <w:shd w:val="clear" w:color="auto" w:fill="EEF2F1"/>
          </w:tcPr>
          <w:p>
            <w:r>
              <w:rPr>
                <w:sz w:val="19"/>
              </w:rPr>
              <w:t>—</w:t>
            </w:r>
          </w:p>
        </w:tc>
        <w:tc>
          <w:tcPr>
            <w:tcW w:type="dxa" w:w="2160"/>
            <w:shd w:val="clear" w:color="auto" w:fill="EEF2F1"/>
          </w:tcPr>
          <w:p>
            <w:r>
              <w:rPr>
                <w:sz w:val="19"/>
              </w:rPr>
              <w:t>Quota diretta reale non tracciata nella diagnosi: misurare la baseline (booking engine/PMS) prima di fissare un obiettivo numerico.</w:t>
            </w:r>
          </w:p>
        </w:tc>
      </w:tr>
      <w:tr>
        <w:tc>
          <w:tcPr>
            <w:tcW w:type="dxa" w:w="2160"/>
          </w:tcPr>
          <w:p>
            <w:r>
              <w:rPr>
                <w:sz w:val="19"/>
              </w:rPr>
              <w:t>Rating aggregato</w:t>
            </w:r>
          </w:p>
        </w:tc>
        <w:tc>
          <w:tcPr>
            <w:tcW w:type="dxa" w:w="2160"/>
          </w:tcPr>
          <w:p>
            <w:r>
              <w:rPr>
                <w:sz w:val="19"/>
              </w:rPr>
              <w:t>3.93</w:t>
            </w:r>
          </w:p>
        </w:tc>
        <w:tc>
          <w:tcPr>
            <w:tcW w:type="dxa" w:w="2160"/>
          </w:tcPr>
          <w:p>
            <w:r>
              <w:rPr>
                <w:sz w:val="19"/>
              </w:rPr>
              <w:t>—</w:t>
            </w:r>
          </w:p>
        </w:tc>
        <w:tc>
          <w:tcPr>
            <w:tcW w:type="dxa" w:w="2160"/>
          </w:tcPr>
          <w:p>
            <w:r>
              <w:rPr>
                <w:sz w:val="19"/>
              </w:rPr>
              <w:t>KPI di score lento (media cumulata su centinaia di recensioni): non calare sotto la baseline, orizzonti lunghi, nessun salto in 2-3 mesi.</w:t>
            </w:r>
          </w:p>
        </w:tc>
      </w:tr>
    </w:tbl>
    <w:p>
      <w:pPr>
        <w:spacing w:after="160"/>
      </w:pPr>
    </w:p>
    <w:p>
      <w:r>
        <w:t>La misurazione diventa qui il sistema nervoso del piano: ogni azione descritta nelle sezioni precedenti (posizionamento, segmenti, canali, distribuzione, roadmap) deve poter essere letta, a cadenza fissa, attraverso un numero di controllo. Dove esiste una baseline reale, il piano fissa un obiettivo numerico; dove la baseline manca, fissa un obiettivo di processo — misurare, strumentare, raccogliere — perché un target senza punto di partenza è una promessa, non un KPI. Questa è l'unica sezione del piano che riporta i KPI numerici: le altre sezioni vi rimandano.</w:t>
      </w:r>
    </w:p>
    <w:p>
      <w:pPr>
        <w:spacing w:before="160" w:after="40"/>
      </w:pPr>
      <w:r>
        <w:rPr>
          <w:b/>
          <w:color w:val="2F5D62"/>
          <w:sz w:val="24"/>
        </w:rPr>
        <w:t>Cruscotto KPI nord (decision record)</w:t>
      </w:r>
    </w:p>
    <w:tbl>
      <w:tblPr>
        <w:tblStyle w:val="TableGrid"/>
        <w:tblW w:type="auto" w:w="0"/>
        <w:jc w:val="center"/>
        <w:tblLook w:firstColumn="1" w:firstRow="1" w:lastColumn="0" w:lastRow="0" w:noHBand="0" w:noVBand="1" w:val="04A0"/>
      </w:tblPr>
      <w:tblGrid>
        <w:gridCol w:w="2160"/>
        <w:gridCol w:w="2160"/>
        <w:gridCol w:w="2160"/>
        <w:gridCol w:w="2160"/>
      </w:tblGrid>
      <w:tr>
        <w:trPr>
          <w:tblHeader w:val="true"/>
        </w:trPr>
        <w:tc>
          <w:tcPr>
            <w:tcW w:type="dxa" w:w="2160"/>
            <w:shd w:val="clear" w:color="auto" w:fill="2F5D62"/>
          </w:tcPr>
          <w:p>
            <w:r>
              <w:rPr>
                <w:b/>
                <w:color w:val="FFFFFF"/>
                <w:sz w:val="19"/>
              </w:rPr>
              <w:t>KPI</w:t>
            </w:r>
          </w:p>
        </w:tc>
        <w:tc>
          <w:tcPr>
            <w:tcW w:type="dxa" w:w="2160"/>
            <w:shd w:val="clear" w:color="auto" w:fill="2F5D62"/>
          </w:tcPr>
          <w:p>
            <w:r>
              <w:rPr>
                <w:b/>
                <w:color w:val="FFFFFF"/>
                <w:sz w:val="19"/>
              </w:rPr>
              <w:t>Baseline</w:t>
            </w:r>
          </w:p>
        </w:tc>
        <w:tc>
          <w:tcPr>
            <w:tcW w:type="dxa" w:w="2160"/>
            <w:shd w:val="clear" w:color="auto" w:fill="2F5D62"/>
          </w:tcPr>
          <w:p>
            <w:r>
              <w:rPr>
                <w:b/>
                <w:color w:val="FFFFFF"/>
                <w:sz w:val="19"/>
              </w:rPr>
              <w:t>Obiettivo</w:t>
            </w:r>
          </w:p>
        </w:tc>
        <w:tc>
          <w:tcPr>
            <w:tcW w:type="dxa" w:w="2160"/>
            <w:shd w:val="clear" w:color="auto" w:fill="2F5D62"/>
          </w:tcPr>
          <w:p>
            <w:r>
              <w:rPr>
                <w:b/>
                <w:color w:val="FFFFFF"/>
                <w:sz w:val="19"/>
              </w:rPr>
              <w:t>Cadenza di verifica</w:t>
            </w:r>
          </w:p>
        </w:tc>
      </w:tr>
      <w:tr>
        <w:tc>
          <w:tcPr>
            <w:tcW w:type="dxa" w:w="2160"/>
          </w:tcPr>
          <w:p>
            <w:r>
              <w:rPr>
                <w:sz w:val="19"/>
              </w:rPr>
              <w:t>Rating aggregato multi-piattaforma</w:t>
            </w:r>
          </w:p>
        </w:tc>
        <w:tc>
          <w:tcPr>
            <w:tcW w:type="dxa" w:w="2160"/>
          </w:tcPr>
          <w:p>
            <w:r>
              <w:rPr>
                <w:sz w:val="19"/>
              </w:rPr>
              <w:t>3,93/5</w:t>
            </w:r>
          </w:p>
        </w:tc>
        <w:tc>
          <w:tcPr>
            <w:tcW w:type="dxa" w:w="2160"/>
          </w:tcPr>
          <w:p>
            <w:r>
              <w:rPr>
                <w:sz w:val="19"/>
              </w:rPr>
              <w:t>Obiettivo di processo: arresto del calo e stabilizzazione (score lento, si muove su base cumulata di centinaia di recensioni)</w:t>
            </w:r>
          </w:p>
        </w:tc>
        <w:tc>
          <w:tcPr>
            <w:tcW w:type="dxa" w:w="2160"/>
          </w:tcPr>
          <w:p>
            <w:r>
              <w:rPr>
                <w:sz w:val="19"/>
              </w:rPr>
              <w:t>Trimestrale</w:t>
            </w:r>
          </w:p>
        </w:tc>
      </w:tr>
      <w:tr>
        <w:tc>
          <w:tcPr>
            <w:tcW w:type="dxa" w:w="2160"/>
            <w:shd w:val="clear" w:color="auto" w:fill="EEF2F1"/>
          </w:tcPr>
          <w:p>
            <w:r>
              <w:rPr>
                <w:sz w:val="19"/>
              </w:rPr>
              <w:t>Keyword di destinazione presidiate in top 10</w:t>
            </w:r>
          </w:p>
        </w:tc>
        <w:tc>
          <w:tcPr>
            <w:tcW w:type="dxa" w:w="2160"/>
            <w:shd w:val="clear" w:color="auto" w:fill="EEF2F1"/>
          </w:tcPr>
          <w:p>
            <w:r>
              <w:rPr>
                <w:sz w:val="19"/>
              </w:rPr>
              <w:t>0 su 24 (gap ≈ 72.340 ricerche/mese)</w:t>
            </w:r>
          </w:p>
        </w:tc>
        <w:tc>
          <w:tcPr>
            <w:tcW w:type="dxa" w:w="2160"/>
            <w:shd w:val="clear" w:color="auto" w:fill="EEF2F1"/>
          </w:tcPr>
          <w:p>
            <w:r>
              <w:rPr>
                <w:sz w:val="19"/>
              </w:rPr>
              <w:t>Primo nucleo presidiato in top 10 entro la chiusura del cantiere tecnico (v. sez. 05)</w:t>
            </w:r>
          </w:p>
        </w:tc>
        <w:tc>
          <w:tcPr>
            <w:tcW w:type="dxa" w:w="2160"/>
            <w:shd w:val="clear" w:color="auto" w:fill="EEF2F1"/>
          </w:tcPr>
          <w:p>
            <w:r>
              <w:rPr>
                <w:sz w:val="19"/>
              </w:rPr>
              <w:t>Trimestrale</w:t>
            </w:r>
          </w:p>
        </w:tc>
      </w:tr>
      <w:tr>
        <w:tc>
          <w:tcPr>
            <w:tcW w:type="dxa" w:w="2160"/>
          </w:tcPr>
          <w:p>
            <w:r>
              <w:rPr>
                <w:sz w:val="19"/>
              </w:rPr>
              <w:t>Copertura mercato tedesco/nord-europeo (proxy lingua recensioni)</w:t>
            </w:r>
          </w:p>
        </w:tc>
        <w:tc>
          <w:tcPr>
            <w:tcW w:type="dxa" w:w="2160"/>
          </w:tcPr>
          <w:p>
            <w:r>
              <w:rPr>
                <w:sz w:val="19"/>
              </w:rPr>
              <w:t>DE 1,3%, EN 2,3%, PL 1,7%</w:t>
            </w:r>
          </w:p>
        </w:tc>
        <w:tc>
          <w:tcPr>
            <w:tcW w:type="dxa" w:w="2160"/>
          </w:tcPr>
          <w:p>
            <w:r>
              <w:rPr>
                <w:sz w:val="19"/>
              </w:rPr>
              <w:t>Obiettivo di processo: validare con test pilota a budget contenuto prima di fissare un target numerico (v. sez. 04)</w:t>
            </w:r>
          </w:p>
        </w:tc>
        <w:tc>
          <w:tcPr>
            <w:tcW w:type="dxa" w:w="2160"/>
          </w:tcPr>
          <w:p>
            <w:r>
              <w:rPr>
                <w:sz w:val="19"/>
              </w:rPr>
              <w:t>Semestrale</w:t>
            </w:r>
          </w:p>
        </w:tc>
      </w:tr>
      <w:tr>
        <w:tc>
          <w:tcPr>
            <w:tcW w:type="dxa" w:w="2160"/>
            <w:shd w:val="clear" w:color="auto" w:fill="EEF2F1"/>
          </w:tcPr>
          <w:p>
            <w:r>
              <w:rPr>
                <w:sz w:val="19"/>
              </w:rPr>
              <w:t>Direct-booking ratio</w:t>
            </w:r>
          </w:p>
        </w:tc>
        <w:tc>
          <w:tcPr>
            <w:tcW w:type="dxa" w:w="2160"/>
            <w:shd w:val="clear" w:color="auto" w:fill="EEF2F1"/>
          </w:tcPr>
          <w:p>
            <w:r>
              <w:rPr>
                <w:sz w:val="19"/>
              </w:rPr>
              <w:t>Baseline non disponibile</w:t>
            </w:r>
          </w:p>
        </w:tc>
        <w:tc>
          <w:tcPr>
            <w:tcW w:type="dxa" w:w="2160"/>
            <w:shd w:val="clear" w:color="auto" w:fill="EEF2F1"/>
          </w:tcPr>
          <w:p>
            <w:r>
              <w:rPr>
                <w:sz w:val="19"/>
              </w:rPr>
              <w:t>Obiettivo di processo: rilevare la baseline reale col cliente prima di fissare un target</w:t>
            </w:r>
          </w:p>
        </w:tc>
        <w:tc>
          <w:tcPr>
            <w:tcW w:type="dxa" w:w="2160"/>
            <w:shd w:val="clear" w:color="auto" w:fill="EEF2F1"/>
          </w:tcPr>
          <w:p>
            <w:r>
              <w:rPr>
                <w:sz w:val="19"/>
              </w:rPr>
              <w:t>Da impostare al primo accesso ai dati</w:t>
            </w:r>
          </w:p>
        </w:tc>
      </w:tr>
      <w:tr>
        <w:tc>
          <w:tcPr>
            <w:tcW w:type="dxa" w:w="2160"/>
          </w:tcPr>
          <w:p>
            <w:r>
              <w:rPr>
                <w:sz w:val="19"/>
              </w:rPr>
              <w:t>CAC/CoA per canale</w:t>
            </w:r>
          </w:p>
        </w:tc>
        <w:tc>
          <w:tcPr>
            <w:tcW w:type="dxa" w:w="2160"/>
          </w:tcPr>
          <w:p>
            <w:r>
              <w:rPr>
                <w:sz w:val="19"/>
              </w:rPr>
              <w:t>Baseline non disponibile</w:t>
            </w:r>
          </w:p>
        </w:tc>
        <w:tc>
          <w:tcPr>
            <w:tcW w:type="dxa" w:w="2160"/>
          </w:tcPr>
          <w:p>
            <w:r>
              <w:rPr>
                <w:sz w:val="19"/>
              </w:rPr>
              <w:t>Obiettivo di processo: impostare il tracciamento per canale (diretto vs OTA)</w:t>
            </w:r>
          </w:p>
        </w:tc>
        <w:tc>
          <w:tcPr>
            <w:tcW w:type="dxa" w:w="2160"/>
          </w:tcPr>
          <w:p>
            <w:r>
              <w:rPr>
                <w:sz w:val="19"/>
              </w:rPr>
              <w:t>Da impostare al primo accesso ai dati</w:t>
            </w:r>
          </w:p>
        </w:tc>
      </w:tr>
      <w:tr>
        <w:tc>
          <w:tcPr>
            <w:tcW w:type="dxa" w:w="2160"/>
            <w:shd w:val="clear" w:color="auto" w:fill="EEF2F1"/>
          </w:tcPr>
          <w:p>
            <w:r>
              <w:rPr>
                <w:sz w:val="19"/>
              </w:rPr>
              <w:t>Visibilità/presenza negli assistenti AI (segmenti coppie, famiglie)</w:t>
            </w:r>
          </w:p>
        </w:tc>
        <w:tc>
          <w:tcPr>
            <w:tcW w:type="dxa" w:w="2160"/>
            <w:shd w:val="clear" w:color="auto" w:fill="EEF2F1"/>
          </w:tcPr>
          <w:p>
            <w:r>
              <w:rPr>
                <w:sz w:val="19"/>
              </w:rPr>
              <w:t>Assente su OpenAI (misurato); stato sconosciuto su altri due assistenti per errore tecnico</w:t>
            </w:r>
          </w:p>
        </w:tc>
        <w:tc>
          <w:tcPr>
            <w:tcW w:type="dxa" w:w="2160"/>
            <w:shd w:val="clear" w:color="auto" w:fill="EEF2F1"/>
          </w:tcPr>
          <w:p>
            <w:r>
              <w:rPr>
                <w:sz w:val="19"/>
              </w:rPr>
              <w:t>Audit completo sui tre assistenti, poi primo miglioramento misurabile sui segmenti prioritari</w:t>
            </w:r>
          </w:p>
        </w:tc>
        <w:tc>
          <w:tcPr>
            <w:tcW w:type="dxa" w:w="2160"/>
            <w:shd w:val="clear" w:color="auto" w:fill="EEF2F1"/>
          </w:tcPr>
          <w:p>
            <w:r>
              <w:rPr>
                <w:sz w:val="19"/>
              </w:rPr>
              <w:t>Semestrale</w:t>
            </w:r>
          </w:p>
        </w:tc>
      </w:tr>
    </w:tbl>
    <w:p>
      <w:pPr>
        <w:spacing w:after="160"/>
      </w:pPr>
    </w:p>
    <w:p>
      <w:pPr>
        <w:spacing w:before="160" w:after="40"/>
      </w:pPr>
      <w:r>
        <w:rPr>
          <w:b/>
          <w:color w:val="2F5D62"/>
          <w:sz w:val="24"/>
        </w:rPr>
        <w:t>Obiettivi misurabili</w:t>
      </w:r>
    </w:p>
    <w:p>
      <w:pPr>
        <w:pStyle w:val="ListBullet"/>
      </w:pPr>
      <w:r>
        <w:t>Costruire, nel primo trimestre operativo, l'accesso stabile ai dati oggi mancanti (motore di prenotazione, scheda struttura su Google, eventuale CRM) come precondizione per popolare le righe del cruscotto oggi senza baseline.</w:t>
      </w:r>
    </w:p>
    <w:p>
      <w:pPr>
        <w:pStyle w:val="ListBullet"/>
      </w:pPr>
      <w:r>
        <w:t>Portare in top 10 un primo nucleo di keyword di destinazione, a conferma dell'azione già impostata in sede di strategia di canale.</w:t>
      </w:r>
    </w:p>
    <w:p>
      <w:pPr>
        <w:pStyle w:val="ListBullet"/>
      </w:pPr>
      <w:r>
        <w:t>Stabilizzare il rating aggregato interrompendo il trend in calo rilevato, senza promettere un recupero rapido su una media cumulata.</w:t>
      </w:r>
    </w:p>
    <w:p>
      <w:pPr>
        <w:spacing w:before="160" w:after="40"/>
      </w:pPr>
      <w:r>
        <w:rPr>
          <w:b/>
          <w:color w:val="2F5D62"/>
          <w:sz w:val="24"/>
        </w:rPr>
        <w:t>Azioni</w:t>
      </w:r>
    </w:p>
    <w:p>
      <w:pPr>
        <w:pStyle w:val="ListBullet"/>
      </w:pPr>
      <w:r>
        <w:t>Il cruscotto contiene oggi due categorie di riga ben distinte, e confonderle sarebbe il primo errore di governance: le righe con baseline (rating, keyword presidiate, mix lingue) ammettono un obiettivo numerico di miglioramento incrementale; le righe senza baseline (direct ratio, CAC/CoA, parity diretto-OTA) restano obiettivi di processo finché non si apre l'accesso ai dati del cliente. Forzare un numero su queste ultime produrrebe un target arbitrario e indifendibile in revisione; la priorità operativa immediata è quindi l'apertura degli accessi (motore di prenotazione, pannello struttura, eventuale CRM), condizione per trasformare in trimestre due le righe di processo in righe con target.</w:t>
      </w:r>
    </w:p>
    <w:p>
      <w:pPr>
        <w:pStyle w:val="ListBullet"/>
      </w:pPr>
      <w:r>
        <w:t>Il rating aggregato è per sua natura un indicatore lento, una media cumulata su centinaia di recensioni: l'azione di governance corretta non è promettere un rimbalzo in due o tre mesi, ma leggere il trend trimestrale e correlarlo alle azioni di prodotto e di risposta alle recensioni già impostate altrove nel piano, verificando se il momentum si stabilizza prima di aspettarsi un recupero assoluto.</w:t>
      </w:r>
    </w:p>
    <w:p>
      <w:pPr>
        <w:pStyle w:val="ListBullet"/>
      </w:pPr>
      <w:r>
        <w:t>La visibilità organica (0 keyword presidiate su un gap di decine di migliaia di ricerche mensili) è l'indicatore più immediatamente osservabile tra quelli con baseline reale: la verifica va fatta a cadenza trimestrale sulle stesse keyword già individuate come prioritarie, senza ampliare il paniere di misurazione prima di aver consolidato il primo nucleo.</w:t>
      </w:r>
    </w:p>
    <w:p>
      <w:pPr>
        <w:pStyle w:val="ListBullet"/>
      </w:pPr>
      <w:r>
        <w:t>La copertura del mercato tedesco e nord-europeo resta sotto osservazione semestrale, coerente con il test pilota a budget contenuto già previsto in sede di distribuzione: un orizzonte più breve non sarebbe compatibile con la natura stagionale della domanda estera, che matura con largo anticipo.</w:t>
      </w:r>
    </w:p>
    <w:p>
      <w:pPr>
        <w:pStyle w:val="ListBullet"/>
      </w:pPr>
      <w:r>
        <w:t>Gli indicatori di acquisizione (CAC/CoA per canale, direct ratio) vanno trattati come riferimenti di settore da validare e non come target del cliente: la prima azione di governance è impostare il tracciamento stesso (motore di prenotazione, attribuzione per canale), non fissare una soglia numerica presa da un benchmark esterno.</w:t>
      </w:r>
    </w:p>
    <w:p>
      <w:pPr>
        <w:pStyle w:val="ListBullet"/>
      </w:pPr>
      <w:r>
        <w:t>La visibilità negli assistenti conversazionali richiede, prima di ogni obiettivo di miglioramento, il completamento dell'audit sui tre assistenti con credenziali funzionanti: solo allora la riga potrà passare da 'assente/sconosciuto' a una baseline completa su cui misurare il progresso nei trimestri successivi.</w:t>
      </w:r>
    </w:p>
    <w:p>
      <w:pPr>
        <w:spacing w:before="160" w:after="40"/>
      </w:pPr>
      <w:r>
        <w:rPr>
          <w:b/>
          <w:color w:val="2F5D62"/>
          <w:sz w:val="24"/>
        </w:rPr>
        <w:t>KPI</w:t>
      </w:r>
    </w:p>
    <w:p>
      <w:pPr>
        <w:pStyle w:val="ListBullet"/>
      </w:pPr>
      <w:r>
        <w:t>v. tabella "Cruscotto KPI nord" in apertura di sezione — unico riferimento numerico del piano.</w:t>
      </w:r>
    </w:p>
    <w:p>
      <w:pPr>
        <w:spacing w:before="160" w:after="40"/>
      </w:pPr>
      <w:r>
        <w:rPr>
          <w:b/>
          <w:color w:val="2F5D62"/>
          <w:sz w:val="24"/>
        </w:rPr>
        <w:t>Note esecutive</w:t>
      </w:r>
    </w:p>
    <w:p>
      <w:pPr>
        <w:pStyle w:val="ListBullet"/>
      </w:pPr>
      <w:r>
        <w:t>Responsabile di governance unico per l'aggiornamento trimestrale del cruscotto, con un punto di raccordo fisso tra chi gestisce i contenuti/SEO, chi gestisce la reputazione e chi ha accesso ai dati di prenotazione una volta disponibili.</w:t>
      </w:r>
    </w:p>
    <w:p>
      <w:pPr>
        <w:pStyle w:val="ListBullet"/>
      </w:pPr>
      <w:r>
        <w:t>Ogni riga del cruscotto oggi priva di baseline va riportata come tale in reportistica, non omessa: la sua assenza è essa stessa un'informazione di governance da tracciare fino a risoluzione.</w:t>
      </w:r>
    </w:p>
    <w:p>
      <w:pPr>
        <w:pStyle w:val="ListBullet"/>
      </w:pPr>
      <w:r>
        <w:t>Le metriche tariffarie e di rendimento non rientrano in questo cruscotto: restano di competenza della struttura e non sono oggetto di misurazione in questo piano.</w:t>
      </w:r>
    </w:p>
    <w:p>
      <w:r>
        <w:br w:type="page"/>
      </w:r>
    </w:p>
    <w:p>
      <w:pPr>
        <w:spacing w:after="0"/>
      </w:pPr>
      <w:r>
        <w:rPr>
          <w:b/>
          <w:color w:val="2F5D62"/>
          <w:sz w:val="18"/>
        </w:rPr>
        <w:t>SEZIONE 07</w:t>
      </w:r>
    </w:p>
    <w:p>
      <w:pPr>
        <w:spacing w:after="200"/>
        <w:pBdr>
          <w:bottom w:val="single" w:sz="18" w:space="6" w:color="2F5D62"/>
        </w:pBdr>
      </w:pPr>
      <w:r>
        <w:rPr>
          <w:b/>
          <w:color w:val="1A1A2E"/>
          <w:sz w:val="40"/>
        </w:rPr>
        <w:t>Budget (ripartizione %)</w:t>
      </w:r>
    </w:p>
    <w:p>
      <w:pPr>
        <w:spacing w:before="160" w:after="40"/>
      </w:pPr>
      <w:r>
        <w:rPr>
          <w:b/>
          <w:color w:val="2F5D62"/>
          <w:sz w:val="24"/>
        </w:rPr>
        <w:t>Ripartizione del budget (%, decision record)</w:t>
      </w:r>
    </w:p>
    <w:p>
      <w:r>
        <w:t>Budget marketing indicativo: 5-7% del ricavo (stadio: crescita). Ripartizione % per canale; gli importi in euro sono nell'allegato economico a cura dell'agenzia.</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Canale</w:t>
            </w:r>
          </w:p>
        </w:tc>
        <w:tc>
          <w:tcPr>
            <w:tcW w:type="dxa" w:w="2880"/>
            <w:shd w:val="clear" w:color="auto" w:fill="2F5D62"/>
          </w:tcPr>
          <w:p>
            <w:r>
              <w:rPr>
                <w:b/>
                <w:color w:val="FFFFFF"/>
                <w:sz w:val="19"/>
              </w:rPr>
              <w:t>Ripartizione %</w:t>
            </w:r>
          </w:p>
        </w:tc>
        <w:tc>
          <w:tcPr>
            <w:tcW w:type="dxa" w:w="2880"/>
            <w:shd w:val="clear" w:color="auto" w:fill="2F5D62"/>
          </w:tcPr>
          <w:p>
            <w:r>
              <w:rPr>
                <w:b/>
                <w:color w:val="FFFFFF"/>
                <w:sz w:val="19"/>
              </w:rPr>
              <w:t>Verdetto</w:t>
            </w:r>
          </w:p>
        </w:tc>
      </w:tr>
      <w:tr>
        <w:tc>
          <w:tcPr>
            <w:tcW w:type="dxa" w:w="2880"/>
          </w:tcPr>
          <w:p>
            <w:r>
              <w:rPr>
                <w:sz w:val="19"/>
              </w:rPr>
              <w:t>SEO organico</w:t>
            </w:r>
          </w:p>
        </w:tc>
        <w:tc>
          <w:tcPr>
            <w:tcW w:type="dxa" w:w="2880"/>
          </w:tcPr>
          <w:p>
            <w:r>
              <w:rPr>
                <w:sz w:val="19"/>
              </w:rPr>
              <w:t>15-25%</w:t>
            </w:r>
          </w:p>
        </w:tc>
        <w:tc>
          <w:tcPr>
            <w:tcW w:type="dxa" w:w="2880"/>
          </w:tcPr>
          <w:p>
            <w:r>
              <w:rPr>
                <w:sz w:val="19"/>
              </w:rPr>
              <w:t>Attivare (prioritario)</w:t>
            </w:r>
          </w:p>
        </w:tc>
      </w:tr>
      <w:tr>
        <w:tc>
          <w:tcPr>
            <w:tcW w:type="dxa" w:w="2880"/>
            <w:shd w:val="clear" w:color="auto" w:fill="EEF2F1"/>
          </w:tcPr>
          <w:p>
            <w:r>
              <w:rPr>
                <w:sz w:val="19"/>
              </w:rPr>
              <w:t>Search advertising (Google Ads)</w:t>
            </w:r>
          </w:p>
        </w:tc>
        <w:tc>
          <w:tcPr>
            <w:tcW w:type="dxa" w:w="2880"/>
            <w:shd w:val="clear" w:color="auto" w:fill="EEF2F1"/>
          </w:tcPr>
          <w:p>
            <w:r>
              <w:rPr>
                <w:sz w:val="19"/>
              </w:rPr>
              <w:t>30-40%</w:t>
            </w:r>
          </w:p>
        </w:tc>
        <w:tc>
          <w:tcPr>
            <w:tcW w:type="dxa" w:w="2880"/>
            <w:shd w:val="clear" w:color="auto" w:fill="EEF2F1"/>
          </w:tcPr>
          <w:p>
            <w:r>
              <w:rPr>
                <w:sz w:val="19"/>
              </w:rPr>
              <w:t>Attivare (stagionale)</w:t>
            </w:r>
          </w:p>
        </w:tc>
      </w:tr>
      <w:tr>
        <w:tc>
          <w:tcPr>
            <w:tcW w:type="dxa" w:w="2880"/>
          </w:tcPr>
          <w:p>
            <w:r>
              <w:rPr>
                <w:sz w:val="19"/>
              </w:rPr>
              <w:t>Sito &amp; booking diretto</w:t>
            </w:r>
          </w:p>
        </w:tc>
        <w:tc>
          <w:tcPr>
            <w:tcW w:type="dxa" w:w="2880"/>
          </w:tcPr>
          <w:p>
            <w:r>
              <w:rPr>
                <w:sz w:val="19"/>
              </w:rPr>
              <w:t>15-25%</w:t>
            </w:r>
          </w:p>
        </w:tc>
        <w:tc>
          <w:tcPr>
            <w:tcW w:type="dxa" w:w="2880"/>
          </w:tcPr>
          <w:p>
            <w:r>
              <w:rPr>
                <w:sz w:val="19"/>
              </w:rPr>
              <w:t>Attivare</w:t>
            </w:r>
          </w:p>
        </w:tc>
      </w:tr>
      <w:tr>
        <w:tc>
          <w:tcPr>
            <w:tcW w:type="dxa" w:w="2880"/>
            <w:shd w:val="clear" w:color="auto" w:fill="EEF2F1"/>
          </w:tcPr>
          <w:p>
            <w:r>
              <w:rPr>
                <w:sz w:val="19"/>
              </w:rPr>
              <w:t>Social organico</w:t>
            </w:r>
          </w:p>
        </w:tc>
        <w:tc>
          <w:tcPr>
            <w:tcW w:type="dxa" w:w="2880"/>
            <w:shd w:val="clear" w:color="auto" w:fill="EEF2F1"/>
          </w:tcPr>
          <w:p>
            <w:r>
              <w:rPr>
                <w:sz w:val="19"/>
              </w:rPr>
              <w:t>15-25%</w:t>
            </w:r>
          </w:p>
        </w:tc>
        <w:tc>
          <w:tcPr>
            <w:tcW w:type="dxa" w:w="2880"/>
            <w:shd w:val="clear" w:color="auto" w:fill="EEF2F1"/>
          </w:tcPr>
          <w:p>
            <w:r>
              <w:rPr>
                <w:sz w:val="19"/>
              </w:rPr>
              <w:t>Rafforzare</w:t>
            </w:r>
          </w:p>
        </w:tc>
      </w:tr>
    </w:tbl>
    <w:p>
      <w:pPr>
        <w:spacing w:after="160"/>
      </w:pPr>
    </w:p>
    <w:p>
      <w:r>
        <w:t>Riferimenti di settore (agency/vendor, da validare sui dati reali del cliente — la ripartizione operativa resta quella della tabella qui sopra): search e metasearch dal 30% al 40%; social e video dal 15% al 25%; SEO, contenuti e presenza locale dal 15% al 25%; email e CRM dal 10% al 15%; display e retargeting dal 5% al 10%; riallocazione trimestrale dal 10% al 20% in base ai risultati per canale.</w:t>
      </w:r>
    </w:p>
    <w:p>
      <w:r>
        <w:t>La ripartizione fotografa esattamente le priorità già fissate nella matrice di canale (sez. 03) e nella roadmap stagionale (sez. 05): il presidio organico/locale e il metasearch assorbono la quota maggiore perché sono i canali oggi scoperti a fronte di una domanda misurata e consistente, mentre CRM ed email ricevono una quota dedicata coerente con un mix clientela a forte vocazione di ritorno (coppie e famiglie, v. sez. 02). Questa sezione non ridefinisce la struttura del budget: la traduce in sequenza operativa, legandola al cantiere tecnico stagionale e ai due archi di investimento (chiusura invernale e stagione aperta) già definiti in roadmap. La struttura stagionale pura impone un vincolo di fondo: la spesa non può essere piatta sui dodici mesi, ma deve concentrarsi nei mesi di chiusura (costruzione dell'asset organico e del CRM) e nelle settimane che precedono l'apertura (attivazione search/metasearch e social), con una coda di presidio nei mesi di apertura per capitalizzare quanto costruito.</w:t>
      </w:r>
    </w:p>
    <w:p>
      <w:pPr>
        <w:spacing w:before="160" w:after="40"/>
      </w:pPr>
      <w:r>
        <w:rPr>
          <w:b/>
          <w:color w:val="2F5D62"/>
          <w:sz w:val="24"/>
        </w:rPr>
        <w:t>Obiettivi misurabili</w:t>
      </w:r>
    </w:p>
    <w:p>
      <w:pPr>
        <w:pStyle w:val="ListBullet"/>
      </w:pPr>
      <w:r>
        <w:t>Allineare la spesa dei canali search/metasearch e SEO&amp;local alle due finestre già fissate in roadmap (cantiere di chiusura + pre-apertura), evitando dispersione piatta sui dodici mesi (obiettivo di processo: nessuna baseline di spesa storica disponibile)</w:t>
      </w:r>
    </w:p>
    <w:p>
      <w:pPr>
        <w:pStyle w:val="ListBullet"/>
      </w:pPr>
      <w:r>
        <w:t>Attivare la quota email/CRM dedicata prima dell'apertura di stagione, collegandola alla comunicazione di riapertura verso la clientela ripetuta (obiettivo di processo)</w:t>
      </w:r>
    </w:p>
    <w:p>
      <w:pPr>
        <w:pStyle w:val="ListBullet"/>
      </w:pPr>
      <w:r>
        <w:t>Impostare una revisione trimestrale della ripartizione tra i canali sulla base delle performance rilevate (obiettivo di processo: nessun dato storico di ROAS/CAC per canale disponibile oggi)</w:t>
      </w:r>
    </w:p>
    <w:p>
      <w:pPr>
        <w:spacing w:before="160" w:after="40"/>
      </w:pPr>
      <w:r>
        <w:rPr>
          <w:b/>
          <w:color w:val="2F5D62"/>
          <w:sz w:val="24"/>
        </w:rPr>
        <w:t>Azioni</w:t>
      </w:r>
    </w:p>
    <w:p>
      <w:r>
        <w:t>La quota più ampia della ripartizione va a search &amp; metasearch e a SEO&amp;local proprio perché questi sono i due canali oggi scoperti a fronte di una domanda misurata e già quantificata (v. sez. 03): senza una spesa iniziale concentrata in questi due blocchi, il gap di visibilità resta strutturale e non si autocorregge con il tempo. L'azione prioritaria è destinare la quota SEO&amp;local al cantiere tecnico nei mesi di chiusura (dati strutturati, pagine evento, contenuti di segmento) e la quota search&amp;metasearch all'attivazione nelle settimane che precedono l'apertura, in modo da essere già visibili quando la domanda per i segmenti prioritari si apre, non quando la stagione è già iniziata.</w:t>
      </w:r>
    </w:p>
    <w:p>
      <w:r>
        <w:t>La quota email/CRM, pur essendo la più contenuta in valore percentuale, va attivata per prima in sequenza temporale: il mix di clientela misura un peso elevato di coppie e famiglie (v. sez. 02), segmenti per cui il ritorno diretto ha un valore economico superiore a una nuova acquisizione. L'azione è costruire la comunicazione di riapertura e l'eventuale pacchetto riservato ai ripetenti nei mesi di chiusura, così che la quota CRM sia già operativa prima che si aprano le finestre di prenotazione dei segmenti target, e non dopo.</w:t>
      </w:r>
    </w:p>
    <w:p>
      <w:r>
        <w:t>La quota social&amp;video va pesata sulla fase di cantiere chiuso per la produzione (raccolta materiale fotografico/video, v. sez. 05) e sulla fase di apertura per la distribuzione dei contenuti "dal campo", mantenendo coerenza con l'impossibilità di produrre contenuti a struttura chiusa. La quota display/retargeting, la più contenuta, va riservata al recupero di traffico già qualificato generato dagli altri canali (ricerche dirette, visite al sito), evitando di trattarla come prospecting primario.</w:t>
      </w:r>
    </w:p>
    <w:p>
      <w:r>
        <w:t>La riallocazione trimestrale della spesa tra i canali, prevista come benchmark operativo di settore, è l'unico meccanismo per correggere la ripartizione una volta disponibili i primi dati di performance (CAC e ROAS per canale): va impostata da subito come processo, anche in assenza di una baseline storica, per non restare ancorati a una ripartizione statica per l'intera stagione.</w:t>
      </w:r>
    </w:p>
    <w:p>
      <w:pPr>
        <w:spacing w:before="160" w:after="40"/>
      </w:pPr>
      <w:r>
        <w:rPr>
          <w:b/>
          <w:color w:val="2F5D62"/>
          <w:sz w:val="24"/>
        </w:rPr>
        <w:t>KPI</w:t>
      </w:r>
    </w:p>
    <w:p>
      <w:r>
        <w:t>I KPI numerici di controllo del budget sono definiti in sez. 06 (CAC/CoA per canale, ROAS, direct ratio); questa sezione ne eredita la logica di lettura senza duplicarli.</w:t>
      </w:r>
    </w:p>
    <w:p>
      <w:pPr>
        <w:spacing w:before="160" w:after="40"/>
      </w:pPr>
      <w:r>
        <w:rPr>
          <w:b/>
          <w:color w:val="2F5D62"/>
          <w:sz w:val="24"/>
        </w:rPr>
        <w:t>Note esecutive</w:t>
      </w:r>
    </w:p>
    <w:p>
      <w:pPr>
        <w:pStyle w:val="ListBullet"/>
      </w:pPr>
      <w:r>
        <w:t>La ripartizione è espressa esclusivamente in percentuale: l'importo assoluto in euro richiede il ricavo reale della struttura e non è stimato in questo piano (v. box 08 per l'input mancante)</w:t>
      </w:r>
    </w:p>
    <w:p>
      <w:pPr>
        <w:pStyle w:val="ListBullet"/>
      </w:pPr>
      <w:r>
        <w:t>Le metriche tariffarie e di rendimento restano di competenza della struttura: questo piano non tocca prezzi e listini se non come vetrina</w:t>
      </w:r>
    </w:p>
    <w:p>
      <w:pPr>
        <w:pStyle w:val="ListBullet"/>
      </w:pPr>
      <w:r>
        <w:t>I range per canale sono riferimenti di settore da validare con i dati reali della struttura, non target certi uguali per ogni hotel</w:t>
      </w:r>
    </w:p>
    <w:p>
      <w:r>
        <w:br w:type="page"/>
      </w:r>
    </w:p>
    <w:p>
      <w:pPr>
        <w:spacing w:after="0"/>
      </w:pPr>
      <w:r>
        <w:rPr>
          <w:b/>
          <w:color w:val="2F5D62"/>
          <w:sz w:val="18"/>
        </w:rPr>
        <w:t>APPENDICE</w:t>
      </w:r>
    </w:p>
    <w:p>
      <w:pPr>
        <w:spacing w:after="200"/>
        <w:pBdr>
          <w:bottom w:val="single" w:sz="18" w:space="6" w:color="2F5D62"/>
        </w:pBdr>
      </w:pPr>
      <w:r>
        <w:rPr>
          <w:b/>
          <w:color w:val="1A1A2E"/>
          <w:sz w:val="40"/>
        </w:rPr>
        <w:t>Assunzioni &amp; input mancanti</w:t>
      </w:r>
    </w:p>
    <w:p>
      <w:r>
        <w:t>Questo piano è costruito per essere eseguito subito con i dati oggi disponibili, ma la sua precisione — soprattutto su budget assoluto, ratio diretto/OTA e KPI di acquisizione — dipende da un pacchetto di input che la struttura deve mettere a disposizione nelle prossime settimane. Questo box separa in modo netto ciò che è riferimento di settore (da validare) da ciò che è dato cliente mancante (da raccogliere), e isola qui — e solo qui — i temi di revenue management che restano di competenza della struttura e non rientrano nel perimetro di questo piano.</w:t>
      </w:r>
    </w:p>
    <w:p>
      <w:pPr>
        <w:spacing w:before="160" w:after="40"/>
      </w:pPr>
      <w:r>
        <w:rPr>
          <w:b/>
          <w:color w:val="2F5D62"/>
          <w:sz w:val="24"/>
        </w:rPr>
        <w:t>Obiettivi misurabili</w:t>
      </w:r>
    </w:p>
    <w:p>
      <w:pPr>
        <w:pStyle w:val="ListBullet"/>
      </w:pPr>
      <w:r>
        <w:t>Raccogliere entro il primo trimestre operativo i dati storici di canale (quota diretto/OTA, CAC per canale) necessari a fissare una baseline reale, oggi assente</w:t>
      </w:r>
    </w:p>
    <w:p>
      <w:pPr>
        <w:pStyle w:val="ListBullet"/>
      </w:pPr>
      <w:r>
        <w:t>Ottenere accesso in lettura a GA4, Search Console, Google Business Profile e motore di prenotazione entro l'avvio del cantiere tecnico (v. sez. 05)</w:t>
      </w:r>
    </w:p>
    <w:p>
      <w:pPr>
        <w:pStyle w:val="ListBullet"/>
      </w:pPr>
      <w:r>
        <w:t>Tradurre la ripartizione percentuale di budget (v. sez. 07) in importi assoluti non appena disponibile il ricavo camere reale</w:t>
      </w:r>
    </w:p>
    <w:p>
      <w:pPr>
        <w:spacing w:before="160" w:after="40"/>
      </w:pPr>
      <w:r>
        <w:rPr>
          <w:b/>
          <w:color w:val="2F5D62"/>
          <w:sz w:val="24"/>
        </w:rPr>
        <w:t>Azioni</w:t>
      </w:r>
    </w:p>
    <w:p>
      <w:r>
        <w:t>La ripartizione di budget per canale presentata in questo piano è espressa solo in percentuale: trasformarla in cifra operativa richiede il ricavo reale della struttura, oggi non fornito. Finché questo dato manca, ogni importo in euro resterebbe una stima non verificabile; l'azione è quindi richiedere alla proprietà il ricavo camere dell'ultimo esercizio chiuso, da trattare come input riservato e da inserire in un allegato economico separato, di proprietà dell'agenzia, non in questo documento strategico.</w:t>
      </w:r>
    </w:p>
    <w:p>
      <w:r>
        <w:t>I benchmark di CoA diretto (~4-5% del ricavo) e di commissione OTA (15-30%), così come il ROAS indicativo (~8:1 su brand/metasearch) citati nella matrice di canale sono riferimenti di settore, non target certi del cliente: vanno validati con i CAC storici reali della struttura, oggi non disponibili. In assenza di tale validazione, qualunque soglia numerica di ritorno sull'investimento resta un'ipotesi di lavoro da confermare nel primo ciclo di reporting, non un obiettivo contrattuale.</w:t>
      </w:r>
    </w:p>
    <w:p>
      <w:r>
        <w:t>La quota di prenotazione diretta rispetto a OTA non ha un valore baseline misurato: senza questo dato non è possibile fissare un obiettivo numerico di spostamento verso il diretto, solo un obiettivo di processo (attivare il tracciamento). L'azione prioritaria è richiedere al PMS/booking engine lo storico delle prenotazioni per canale degli ultimi 12-24 mesi, per segmentare la baseline per stagione e mercato prima di allocare budget aggiuntivo sul diretto.</w:t>
      </w:r>
    </w:p>
    <w:p>
      <w:r>
        <w:t>La domanda di ricerca (volumi e gap keyword) è già disponibile ed è stata usata integralmente nelle sezioni precedenti come ledger definitivo: non è un input mancante. Resta da integrare, quando disponibile, l'accesso a Search Console e GA4 per leggere il traffico organico reale e il comportamento on-site, e un eventuale export aggiornato di keyword entrerà nel piano solo come delta datato rispetto al ledger attuale, non come sostituzione.</w:t>
      </w:r>
    </w:p>
    <w:p>
      <w:r>
        <w:t>Il calendario eventi e fiere locali usato per calibrare le finestre di campagna (v. sez. 05) è oggi costruito sulle pagine evento storiche del sito, in parte scadute: va sostituito con un calendario aggiornato fornito dalla struttura o dagli enti fiera/DMO di riferimento, da acquisire prima dell'apertura della stagione per evitare di pianificare contenuti su edizioni già passate.</w:t>
      </w:r>
    </w:p>
    <w:p>
      <w:r>
        <w:t>Le metriche tariffarie e di rendimento (occupazione, tariffa media, ricavo per camera disponibile) restano di competenza della struttura: questo piano non le tratta né le stima, e le cita qui unicamente come input da raccogliere per permettere, in futuro, una lettura incrociata tra azioni di marketing e risultati commerciali — mai come base per proporre prezzi o listini, che restano fuori perimetro.</w:t>
      </w:r>
    </w:p>
    <w:p>
      <w:pPr>
        <w:spacing w:before="160" w:after="40"/>
      </w:pPr>
      <w:r>
        <w:rPr>
          <w:b/>
          <w:color w:val="2F5D62"/>
          <w:sz w:val="24"/>
        </w:rPr>
        <w:t>KPI</w:t>
      </w:r>
    </w:p>
    <w:tbl>
      <w:tblPr>
        <w:tblStyle w:val="TableGrid"/>
        <w:tblW w:type="auto" w:w="0"/>
        <w:jc w:val="center"/>
        <w:tblLook w:firstColumn="1" w:firstRow="1" w:lastColumn="0" w:lastRow="0" w:noHBand="0" w:noVBand="1" w:val="04A0"/>
      </w:tblPr>
      <w:tblGrid>
        <w:gridCol w:w="2880"/>
        <w:gridCol w:w="2880"/>
        <w:gridCol w:w="2880"/>
      </w:tblGrid>
      <w:tr>
        <w:trPr>
          <w:tblHeader w:val="true"/>
        </w:trPr>
        <w:tc>
          <w:tcPr>
            <w:tcW w:type="dxa" w:w="2880"/>
            <w:shd w:val="clear" w:color="auto" w:fill="2F5D62"/>
          </w:tcPr>
          <w:p>
            <w:r>
              <w:rPr>
                <w:b/>
                <w:color w:val="FFFFFF"/>
                <w:sz w:val="19"/>
              </w:rPr>
              <w:t>Area</w:t>
            </w:r>
          </w:p>
        </w:tc>
        <w:tc>
          <w:tcPr>
            <w:tcW w:type="dxa" w:w="2880"/>
            <w:shd w:val="clear" w:color="auto" w:fill="2F5D62"/>
          </w:tcPr>
          <w:p>
            <w:r>
              <w:rPr>
                <w:b/>
                <w:color w:val="FFFFFF"/>
                <w:sz w:val="19"/>
              </w:rPr>
              <w:t>Stato attuale</w:t>
            </w:r>
          </w:p>
        </w:tc>
        <w:tc>
          <w:tcPr>
            <w:tcW w:type="dxa" w:w="2880"/>
            <w:shd w:val="clear" w:color="auto" w:fill="2F5D62"/>
          </w:tcPr>
          <w:p>
            <w:r>
              <w:rPr>
                <w:b/>
                <w:color w:val="FFFFFF"/>
                <w:sz w:val="19"/>
              </w:rPr>
              <w:t>Azione di raccolta</w:t>
            </w:r>
          </w:p>
        </w:tc>
      </w:tr>
      <w:tr>
        <w:tc>
          <w:tcPr>
            <w:tcW w:type="dxa" w:w="2880"/>
          </w:tcPr>
          <w:p>
            <w:r>
              <w:rPr>
                <w:sz w:val="19"/>
              </w:rPr>
              <w:t>Quota diretto/OTA</w:t>
            </w:r>
          </w:p>
        </w:tc>
        <w:tc>
          <w:tcPr>
            <w:tcW w:type="dxa" w:w="2880"/>
          </w:tcPr>
          <w:p>
            <w:r>
              <w:rPr>
                <w:sz w:val="19"/>
              </w:rPr>
              <w:t>Baseline non disponibile</w:t>
            </w:r>
          </w:p>
        </w:tc>
        <w:tc>
          <w:tcPr>
            <w:tcW w:type="dxa" w:w="2880"/>
          </w:tcPr>
          <w:p>
            <w:r>
              <w:rPr>
                <w:sz w:val="19"/>
              </w:rPr>
              <w:t>Estrazione storico PMS/booking engine ultimi 12-24 mesi</w:t>
            </w:r>
          </w:p>
        </w:tc>
      </w:tr>
      <w:tr>
        <w:tc>
          <w:tcPr>
            <w:tcW w:type="dxa" w:w="2880"/>
            <w:shd w:val="clear" w:color="auto" w:fill="EEF2F1"/>
          </w:tcPr>
          <w:p>
            <w:r>
              <w:rPr>
                <w:sz w:val="19"/>
              </w:rPr>
              <w:t>CAC per canale</w:t>
            </w:r>
          </w:p>
        </w:tc>
        <w:tc>
          <w:tcPr>
            <w:tcW w:type="dxa" w:w="2880"/>
            <w:shd w:val="clear" w:color="auto" w:fill="EEF2F1"/>
          </w:tcPr>
          <w:p>
            <w:r>
              <w:rPr>
                <w:sz w:val="19"/>
              </w:rPr>
              <w:t>Non disponibile</w:t>
            </w:r>
          </w:p>
        </w:tc>
        <w:tc>
          <w:tcPr>
            <w:tcW w:type="dxa" w:w="2880"/>
            <w:shd w:val="clear" w:color="auto" w:fill="EEF2F1"/>
          </w:tcPr>
          <w:p>
            <w:r>
              <w:rPr>
                <w:sz w:val="19"/>
              </w:rPr>
              <w:t>Richiesta dati storici campagne/OTA alla proprietà</w:t>
            </w:r>
          </w:p>
        </w:tc>
      </w:tr>
      <w:tr>
        <w:tc>
          <w:tcPr>
            <w:tcW w:type="dxa" w:w="2880"/>
          </w:tcPr>
          <w:p>
            <w:r>
              <w:rPr>
                <w:sz w:val="19"/>
              </w:rPr>
              <w:t>Budget marketing reale (€)</w:t>
            </w:r>
          </w:p>
        </w:tc>
        <w:tc>
          <w:tcPr>
            <w:tcW w:type="dxa" w:w="2880"/>
          </w:tcPr>
          <w:p>
            <w:r>
              <w:rPr>
                <w:sz w:val="19"/>
              </w:rPr>
              <w:t>Non disponibile — solo % in questo piano</w:t>
            </w:r>
          </w:p>
        </w:tc>
        <w:tc>
          <w:tcPr>
            <w:tcW w:type="dxa" w:w="2880"/>
          </w:tcPr>
          <w:p>
            <w:r>
              <w:rPr>
                <w:sz w:val="19"/>
              </w:rPr>
              <w:t>Ricavo camere ultimo esercizio, per allegato economico separato</w:t>
            </w:r>
          </w:p>
        </w:tc>
      </w:tr>
      <w:tr>
        <w:tc>
          <w:tcPr>
            <w:tcW w:type="dxa" w:w="2880"/>
            <w:shd w:val="clear" w:color="auto" w:fill="EEF2F1"/>
          </w:tcPr>
          <w:p>
            <w:r>
              <w:rPr>
                <w:sz w:val="19"/>
              </w:rPr>
              <w:t>Accessi GA4/Search Console</w:t>
            </w:r>
          </w:p>
        </w:tc>
        <w:tc>
          <w:tcPr>
            <w:tcW w:type="dxa" w:w="2880"/>
            <w:shd w:val="clear" w:color="auto" w:fill="EEF2F1"/>
          </w:tcPr>
          <w:p>
            <w:r>
              <w:rPr>
                <w:sz w:val="19"/>
              </w:rPr>
              <w:t>Non concessi</w:t>
            </w:r>
          </w:p>
        </w:tc>
        <w:tc>
          <w:tcPr>
            <w:tcW w:type="dxa" w:w="2880"/>
            <w:shd w:val="clear" w:color="auto" w:fill="EEF2F1"/>
          </w:tcPr>
          <w:p>
            <w:r>
              <w:rPr>
                <w:sz w:val="19"/>
              </w:rPr>
              <w:t>Attivazione accessi in lettura</w:t>
            </w:r>
          </w:p>
        </w:tc>
      </w:tr>
      <w:tr>
        <w:tc>
          <w:tcPr>
            <w:tcW w:type="dxa" w:w="2880"/>
          </w:tcPr>
          <w:p>
            <w:r>
              <w:rPr>
                <w:sz w:val="19"/>
              </w:rPr>
              <w:t>Google Business Profile</w:t>
            </w:r>
          </w:p>
        </w:tc>
        <w:tc>
          <w:tcPr>
            <w:tcW w:type="dxa" w:w="2880"/>
          </w:tcPr>
          <w:p>
            <w:r>
              <w:rPr>
                <w:sz w:val="19"/>
              </w:rPr>
              <w:t>Completezza non verificata</w:t>
            </w:r>
          </w:p>
        </w:tc>
        <w:tc>
          <w:tcPr>
            <w:tcW w:type="dxa" w:w="2880"/>
          </w:tcPr>
          <w:p>
            <w:r>
              <w:rPr>
                <w:sz w:val="19"/>
              </w:rPr>
              <w:t>Audit scheda e attributi</w:t>
            </w:r>
          </w:p>
        </w:tc>
      </w:tr>
      <w:tr>
        <w:tc>
          <w:tcPr>
            <w:tcW w:type="dxa" w:w="2880"/>
            <w:shd w:val="clear" w:color="auto" w:fill="EEF2F1"/>
          </w:tcPr>
          <w:p>
            <w:r>
              <w:rPr>
                <w:sz w:val="19"/>
              </w:rPr>
              <w:t>Calendario eventi/fiere</w:t>
            </w:r>
          </w:p>
        </w:tc>
        <w:tc>
          <w:tcPr>
            <w:tcW w:type="dxa" w:w="2880"/>
            <w:shd w:val="clear" w:color="auto" w:fill="EEF2F1"/>
          </w:tcPr>
          <w:p>
            <w:r>
              <w:rPr>
                <w:sz w:val="19"/>
              </w:rPr>
              <w:t>Parziale, da pagine sito non aggiornate</w:t>
            </w:r>
          </w:p>
        </w:tc>
        <w:tc>
          <w:tcPr>
            <w:tcW w:type="dxa" w:w="2880"/>
            <w:shd w:val="clear" w:color="auto" w:fill="EEF2F1"/>
          </w:tcPr>
          <w:p>
            <w:r>
              <w:rPr>
                <w:sz w:val="19"/>
              </w:rPr>
              <w:t>Calendario aggiornato da struttura/enti fiera</w:t>
            </w:r>
          </w:p>
        </w:tc>
      </w:tr>
      <w:tr>
        <w:tc>
          <w:tcPr>
            <w:tcW w:type="dxa" w:w="2880"/>
          </w:tcPr>
          <w:p>
            <w:r>
              <w:rPr>
                <w:sz w:val="19"/>
              </w:rPr>
              <w:t>Dati di revenue management (occupazione, tariffa media)</w:t>
            </w:r>
          </w:p>
        </w:tc>
        <w:tc>
          <w:tcPr>
            <w:tcW w:type="dxa" w:w="2880"/>
          </w:tcPr>
          <w:p>
            <w:r>
              <w:rPr>
                <w:sz w:val="19"/>
              </w:rPr>
              <w:t>Non trattati nel piano</w:t>
            </w:r>
          </w:p>
        </w:tc>
        <w:tc>
          <w:tcPr>
            <w:tcW w:type="dxa" w:w="2880"/>
          </w:tcPr>
          <w:p>
            <w:r>
              <w:rPr>
                <w:sz w:val="19"/>
              </w:rPr>
              <w:t>Da raccogliere solo come contesto, competenza struttura</w:t>
            </w:r>
          </w:p>
        </w:tc>
      </w:tr>
    </w:tbl>
    <w:p>
      <w:pPr>
        <w:spacing w:after="160"/>
      </w:pPr>
    </w:p>
    <w:p>
      <w:pPr>
        <w:spacing w:before="160" w:after="40"/>
      </w:pPr>
      <w:r>
        <w:rPr>
          <w:b/>
          <w:color w:val="2F5D62"/>
          <w:sz w:val="24"/>
        </w:rPr>
        <w:t>Note esecutive</w:t>
      </w:r>
    </w:p>
    <w:p>
      <w:pPr>
        <w:pStyle w:val="ListBullet"/>
      </w:pPr>
      <w:r>
        <w:t>Nessun importo in euro compare in questo piano al di fuori di questo box: la proposta economica con cifre assolute è un allegato separato di competenza dell'agenzia</w:t>
      </w:r>
    </w:p>
    <w:p>
      <w:pPr>
        <w:pStyle w:val="ListBullet"/>
      </w:pPr>
      <w:r>
        <w:t>I benchmark di settore citati in sez. 03/04/07 (CoA, CAC, ROAS, split budget) sono riferimenti da validare con i dati reali della struttura, non target uguali per ogni hotel</w:t>
      </w:r>
    </w:p>
    <w:p>
      <w:pPr>
        <w:pStyle w:val="ListBullet"/>
      </w:pPr>
      <w:r>
        <w:t>La priorità di raccolta dati è: storico canale/CAC, accessi tecnici (GA4/Search Console/GBP/booking engine), calendario eventi — nell'ordine in cui sbloccano rispettivamente budget, misurazione e contenuti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2222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