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ROYAL BOUTIQUE HOTEL</w:t>
      </w:r>
    </w:p>
    <w:p>
      <w:pPr>
        <w:jc w:val="center"/>
      </w:pPr>
      <w:r>
        <w:rPr>
          <w:color w:val="6B7280"/>
          <w:sz w:val="26"/>
        </w:rPr>
        <w:t>Riccione  ·  3 stelle</w:t>
      </w:r>
    </w:p>
    <w:p>
      <w:pPr>
        <w:spacing w:before="360"/>
        <w:pBdr>
          <w:bottom w:val="single" w:sz="12" w:space="6" w:color="2F5D62"/>
        </w:pBdr>
      </w:pPr>
    </w:p>
    <w:p>
      <w:pPr>
        <w:spacing w:before="160"/>
        <w:jc w:val="center"/>
      </w:pPr>
      <w:r>
        <w:rPr>
          <w:color w:val="6B7280"/>
          <w:sz w:val="18"/>
        </w:rPr>
        <w:t>Documento operativo · 05/10/2026 09:04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Executive summary &amp; posizionamento</w:t>
      </w:r>
    </w:p>
    <w:p>
      <w:pPr>
        <w:pStyle w:val="ListNumber"/>
      </w:pPr>
      <w:r>
        <w:t>02 — Segmenti prioritari &amp; messaggi</w:t>
      </w:r>
    </w:p>
    <w:p>
      <w:pPr>
        <w:pStyle w:val="ListNumber"/>
      </w:pPr>
      <w:r>
        <w:t>03 — Strategia di canale (core)</w:t>
      </w:r>
    </w:p>
    <w:p>
      <w:pPr>
        <w:pStyle w:val="ListNumber"/>
      </w:pPr>
      <w:r>
        <w:t>04 — Distribuzione &amp; mercati</w:t>
      </w:r>
    </w:p>
    <w:p>
      <w:pPr>
        <w:pStyle w:val="ListNumber"/>
      </w:pPr>
      <w:r>
        <w:t>05 — Roadmap 12 mesi</w:t>
      </w:r>
    </w:p>
    <w:p>
      <w:pPr>
        <w:pStyle w:val="ListNumber"/>
      </w:pPr>
      <w:r>
        <w:t>06 — Misurazione &amp; governance</w:t>
      </w:r>
    </w:p>
    <w:p>
      <w:pPr>
        <w:pStyle w:val="ListNumber"/>
      </w:pPr>
      <w:r>
        <w:t>07 — Budget (ripartizione %)</w:t>
      </w:r>
    </w:p>
    <w:p>
      <w:pPr>
        <w:pStyle w:val="ListNumber"/>
      </w:pPr>
      <w:r>
        <w:t>08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Executive summary &amp; posizionamento</w:t>
      </w:r>
    </w:p>
    <w:p>
      <w:r>
        <w:t>Il Royal Boutique Hotel gioca la partita a Riccione centro come boutique balneare con wellness distintivo: tre stelle sulla carta, ma co-considerato dal mercato insieme a strutture 4 stelle, in virtù di un asset che nessun diretto competitor replica allo stesso modo, un'Outdoor SPA su tre livelli con acque sempre riscaldate, a 50 metri dal mare. La promessa di valore da portare sul mercato nei prossimi dodici mesi è semplice e va ripetuta su ogni canale: relax termale a due passi dalla spiaggia, in un formato familiare e curato nei dettagli. La mossa strategica non è reputazionale né tariffaria: è intercettare la domanda che già cerca esattamente questo prodotto e non trova la struttura, mentre in parallelo si consolidano gli asset fisici che sostengono la promessa fatta. Il piano lavora su quattro direttrici operative: colmare il vuoto di visibilità organica sulle ricerche a intento wellness e famiglia, attivare un programma di recupero e ritorno degli ospiti già soddisfatti, presidiare con continuità i touchpoint dove si forma la decisione (recensioni, risposte, assistenti AI) e sequenziare gli investimenti sul calendario di apertura stagionale, non a pioggia sui dodici mesi.</w:t>
      </w:r>
    </w:p>
    <w:p>
      <w:pPr>
        <w:spacing w:before="160" w:after="40"/>
      </w:pPr>
      <w:r>
        <w:rPr>
          <w:b/>
          <w:color w:val="2F5D62"/>
          <w:sz w:val="24"/>
        </w:rPr>
        <w:t>Scostamento di posizionamento</w:t>
      </w:r>
    </w:p>
    <w:p>
      <w:r>
        <w:t>Il sito dichiara un ventaglio ampio di target, famiglie, coppie, genitori single, business/congressuale, motori, benessere, viaggiatori singoli, ma i dati reali restituiscono un posizionamento più concentrato: famiglie e coppie sono i segmenti con riscontro solido e sentiment migliore, mentre il business congressuale, pur presidiato con pagine dedicate (Tecnocasa, Rimini Wellness, Misano), non trova conferma operativa nei dati di prenotazione. Comunicare sette target con la stessa intensità diluisce il messaggio proprio dove la struttura ha un vantaggio di prodotto reale e misurabile (wellness + posizione); la correzione di rotta è restringere il centro di gravità della comunicazione su famiglia e coppia wellness, trattando il business come leva opportunistica stagionale e non come pilastro di posizionamento permanente.</w:t>
      </w:r>
    </w:p>
    <w:p>
      <w:pPr>
        <w:spacing w:before="160" w:after="40"/>
      </w:pPr>
      <w:r>
        <w:rPr>
          <w:b/>
          <w:color w:val="2F5D62"/>
          <w:sz w:val="24"/>
        </w:rPr>
        <w:t>Obiettivi misurabili</w:t>
      </w:r>
    </w:p>
    <w:p>
      <w:pPr>
        <w:pStyle w:val="ListBullet"/>
      </w:pPr>
      <w:r>
        <w:t>Portare la struttura in prima pagina su un primo nucleo di ricerche a intento wellness/posizione entro la riapertura stagionale (obiettivo di processo: baseline attuale pari a zero keyword presidiate sulle 22 della destinazione)</w:t>
      </w:r>
    </w:p>
    <w:p>
      <w:pPr>
        <w:pStyle w:val="ListBullet"/>
      </w:pPr>
      <w:r>
        <w:t>Attivare un canale di contatto diretto e strutturato con gli ospiti già soggiornati, in vista della riapertura (obiettivo di processo: non esiste oggi un sistema di raccolta contatti o CRM)</w:t>
      </w:r>
    </w:p>
    <w:p>
      <w:pPr>
        <w:pStyle w:val="ListBullet"/>
      </w:pPr>
      <w:r>
        <w:t>Verificare e correggere l'allineamento di prezzo e disponibilità tra sito diretto e portali su motori di comparazione prima dell'apertura della finestra di prenotazione estera (obiettivo di processo: stato di parity non misurato)</w:t>
      </w:r>
    </w:p>
    <w:p>
      <w:pPr>
        <w:pStyle w:val="ListBullet"/>
      </w:pPr>
      <w:r>
        <w:t>Restringere e rendere coerente il messaggio di posizionamento su famiglia e coppia wellness su tutti i touchpoint digitali (sito, scheda Google, social) entro l'avvio della stagione</w:t>
      </w:r>
    </w:p>
    <w:p>
      <w:pPr>
        <w:spacing w:before="160" w:after="40"/>
      </w:pPr>
      <w:r>
        <w:rPr>
          <w:b/>
          <w:color w:val="2F5D62"/>
          <w:sz w:val="24"/>
        </w:rPr>
        <w:t>Azioni</w:t>
      </w:r>
    </w:p>
    <w:p>
      <w:r>
        <w:t>La domanda di ricerca legata alla destinazione è consistente e in larga parte intercettabile, ma la struttura non vi compare: questo rende prioritaria, nel periodo di chiusura stagionale, una revisione dei contenuti delle pagine già esistenti (spa, camere, offerte) per allinearle al linguaggio con cui le persone cercano davvero una vacanza a Riccione, mare, piscina, formula di soggiorno, così che il vantaggio di prodotto già riconosciuto nelle recensioni si traduca in visibilità nei motori di ricerca e negli assistenti conversazionali prima che si apra la stagione di prenotazione.</w:t>
      </w:r>
    </w:p>
    <w:p>
      <w:r>
        <w:t>Il posizionamento dichiarato sul sito copre sette target diversi, ma solo famiglia e coppia trovano riscontro robusto nei dati reali di clientela: per questo la revisione dei contenuti e della comunicazione social va fatta restringendo il fuoco su questi due archetipi, lasciando il filone business/eventi come pagina di servizio stagionale legata alle fiere che cadono nel periodo di apertura, non come terzo pilastro di pari peso.</w:t>
      </w:r>
    </w:p>
    <w:p>
      <w:r>
        <w:t>Gli ospiti soddisfatti, in particolare le famiglie, non dispongono oggi di un canale diretto che li richiami per la stagione successiva: introdurre una raccolta contatti post-soggiorno e una comunicazione di riapertura per tempo permette di attivare la riprenotazione diretta, riducendo la dipendenza dai portali proprio sul segmento che già esprime il sentiment più favorevole.</w:t>
      </w:r>
    </w:p>
    <w:p>
      <w:r>
        <w:t>Non essendo nota la condizione di allineamento tariffario tra sito diretto e portali sui motori di comparazione, ogni investimento in traffico diretto a pagamento rischia di alimentare un canale non competitivo in fase di confronto: la verifica di questo allineamento precede, in sequenza logica, qualunque campagna di acquisizione diretta.</w:t>
      </w:r>
    </w:p>
    <w:p>
      <w:pPr>
        <w:spacing w:before="160" w:after="40"/>
      </w:pPr>
      <w:r>
        <w:rPr>
          <w:b/>
          <w:color w:val="2F5D62"/>
          <w:sz w:val="24"/>
        </w:rPr>
        <w:t>KPI</w:t>
      </w:r>
    </w:p>
    <w:p>
      <w:r>
        <w:t>Il cruscotto numerico di controllo è riportato in sez. 06; qui restano fermi i quattro obiettivi di processo sopra indicati come criterio di avanzamento della strategia.</w:t>
      </w:r>
    </w:p>
    <w:p>
      <w:pPr>
        <w:spacing w:before="160" w:after="40"/>
      </w:pPr>
      <w:r>
        <w:rPr>
          <w:b/>
          <w:color w:val="2F5D62"/>
          <w:sz w:val="24"/>
        </w:rPr>
        <w:t>Note esecutive</w:t>
      </w:r>
    </w:p>
    <w:p>
      <w:pPr>
        <w:pStyle w:val="ListBullet"/>
      </w:pPr>
      <w:r>
        <w:t>Il lavoro di contenuto e posizionamento si colloca nel periodo di chiusura stagionale, quando la struttura prepara il terreno per la domanda che si aprirà sui mercati con anticipo maggiore (v. roadmap sez. 05)</w:t>
      </w:r>
    </w:p>
    <w:p>
      <w:pPr>
        <w:pStyle w:val="ListBullet"/>
      </w:pPr>
      <w:r>
        <w:t>La restrizione del messaggio su famiglia e coppia non esclude il segmento business dalla struttura: lo riposiziona da pilastro comunicativo a leva stagionale legata al calendario fiere (v. sez. 03)</w:t>
      </w:r>
    </w:p>
    <w:p>
      <w:pPr>
        <w:pStyle w:val="ListBullet"/>
      </w:pPr>
      <w:r>
        <w:t>La verifica di parity sui motori di comparazione è un prerequisito tecnico, da chiudere prima di allocare budget su canali di acquisizione diretta a pagamento</w:t>
      </w:r>
    </w:p>
    <w:p>
      <w:r>
        <w:br w:type="page"/>
      </w:r>
    </w:p>
    <w:p>
      <w:pPr>
        <w:spacing w:after="0"/>
      </w:pPr>
      <w:r>
        <w:rPr>
          <w:b/>
          <w:color w:val="2F5D62"/>
          <w:sz w:val="18"/>
        </w:rPr>
        <w:t>SEZIONE 02</w:t>
      </w:r>
    </w:p>
    <w:p>
      <w:pPr>
        <w:spacing w:after="200"/>
        <w:pBdr>
          <w:bottom w:val="single" w:sz="18" w:space="6" w:color="2F5D62"/>
        </w:pBdr>
      </w:pPr>
      <w:r>
        <w:rPr>
          <w:b/>
          <w:color w:val="1A1A2E"/>
          <w:sz w:val="40"/>
        </w:rPr>
        <w:t>Segmenti prioritari &amp; messaggi</w:t>
      </w:r>
    </w:p>
    <w:p>
      <w:pPr>
        <w:spacing w:before="160" w:after="40"/>
      </w:pPr>
      <w:r>
        <w:rPr>
          <w:b/>
          <w:color w:val="2F5D62"/>
          <w:sz w:val="24"/>
        </w:rPr>
        <w:t>Mix di clientela reale (decision record — verità del piano)</w:t>
      </w:r>
    </w:p>
    <w:p>
      <w:r>
        <w:t>Coppie + Famiglie = 40,2% del mix di clientela reale (recensioni Booking): Coppie 17,1% · Famiglie 23,1%.</w:t>
      </w:r>
    </w:p>
    <w:p>
      <w:r>
        <w:t>La clientela reale del Royal Boutique Hotel converge su tre profili, non sul ventaglio ampio dichiarato dal sito: famiglie con bambini, coppie (romantiche e wellness) e un flusso di viaggiatori singoli che include quote business non gestite legate a fiere ed eventi del territorio. Il lavoro da fare non è inseguire nuovi target, ma costruire per ciascuno di questi tre un messaggio che usi il lessico di prodotto corretto e lo porti dove oggi è assente: ricerca organica, contenuti del sito, email post-soggiorno.</w:t>
      </w:r>
    </w:p>
    <w:p>
      <w:pPr>
        <w:spacing w:before="160" w:after="40"/>
      </w:pPr>
      <w:r>
        <w:rPr>
          <w:b/>
          <w:color w:val="2F5D62"/>
          <w:sz w:val="24"/>
        </w:rPr>
        <w:t>I tre segmenti e il messaggio guida</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Peso reale</w:t>
            </w:r>
          </w:p>
        </w:tc>
        <w:tc>
          <w:tcPr>
            <w:tcW w:type="dxa" w:w="2160"/>
            <w:shd w:val="clear" w:color="auto" w:fill="2F5D62"/>
          </w:tcPr>
          <w:p>
            <w:r>
              <w:rPr>
                <w:b/>
                <w:color w:val="FFFFFF"/>
                <w:sz w:val="19"/>
              </w:rPr>
              <w:t>Messaggio guida</w:t>
            </w:r>
          </w:p>
        </w:tc>
        <w:tc>
          <w:tcPr>
            <w:tcW w:type="dxa" w:w="2160"/>
            <w:shd w:val="clear" w:color="auto" w:fill="2F5D62"/>
          </w:tcPr>
          <w:p>
            <w:r>
              <w:rPr>
                <w:b/>
                <w:color w:val="FFFFFF"/>
                <w:sz w:val="19"/>
              </w:rPr>
              <w:t>Finestra di prenotazione (contesto)</w:t>
            </w:r>
          </w:p>
        </w:tc>
      </w:tr>
      <w:tr>
        <w:tc>
          <w:tcPr>
            <w:tcW w:type="dxa" w:w="2160"/>
          </w:tcPr>
          <w:p>
            <w:r>
              <w:rPr>
                <w:sz w:val="19"/>
              </w:rPr>
              <w:t>Famiglia con bambini (0-6 e 7-12)</w:t>
            </w:r>
          </w:p>
        </w:tc>
        <w:tc>
          <w:tcPr>
            <w:tcW w:type="dxa" w:w="2160"/>
          </w:tcPr>
          <w:p>
            <w:r>
              <w:rPr>
                <w:sz w:val="19"/>
              </w:rPr>
              <w:t>23,1% (Booking)</w:t>
            </w:r>
          </w:p>
        </w:tc>
        <w:tc>
          <w:tcPr>
            <w:tcW w:type="dxa" w:w="2160"/>
          </w:tcPr>
          <w:p>
            <w:r>
              <w:rPr>
                <w:sz w:val="19"/>
              </w:rPr>
              <w:t>Formula famiglia con bambini gratuiti per fascia d'età, trattamento a scelta tra mezza pensione e pensione completa, spiaggia convenzionata inclusa (ombrellone e lettini) e area bimbi in piscina (max 40 cm): il soggiorno 'tutto organizzato' vicino al mare.</w:t>
            </w:r>
          </w:p>
        </w:tc>
        <w:tc>
          <w:tcPr>
            <w:tcW w:type="dxa" w:w="2160"/>
          </w:tcPr>
          <w:p>
            <w:r>
              <w:rPr>
                <w:sz w:val="19"/>
              </w:rPr>
              <w:t>Prenotazione tipicamente anticipata di diversi mesi per l'alta stagione; ipotesi da validare coi dati prenotazione reali della struttura</w:t>
            </w:r>
          </w:p>
        </w:tc>
      </w:tr>
      <w:tr>
        <w:tc>
          <w:tcPr>
            <w:tcW w:type="dxa" w:w="2160"/>
            <w:shd w:val="clear" w:color="auto" w:fill="EEF2F1"/>
          </w:tcPr>
          <w:p>
            <w:r>
              <w:rPr>
                <w:sz w:val="19"/>
              </w:rPr>
              <w:t>Coppia (romantica e wellness)</w:t>
            </w:r>
          </w:p>
        </w:tc>
        <w:tc>
          <w:tcPr>
            <w:tcW w:type="dxa" w:w="2160"/>
            <w:shd w:val="clear" w:color="auto" w:fill="EEF2F1"/>
          </w:tcPr>
          <w:p>
            <w:r>
              <w:rPr>
                <w:sz w:val="19"/>
              </w:rPr>
              <w:t>17,1% (Booking) + tag Google 'Romantico'</w:t>
            </w:r>
          </w:p>
        </w:tc>
        <w:tc>
          <w:tcPr>
            <w:tcW w:type="dxa" w:w="2160"/>
            <w:shd w:val="clear" w:color="auto" w:fill="EEF2F1"/>
          </w:tcPr>
          <w:p>
            <w:r>
              <w:rPr>
                <w:sz w:val="19"/>
              </w:rPr>
              <w:t>Fuga di coppia con area SPA su tre livelli ad acque sempre riscaldate e nuova sauna panoramica gratuita, terrazza idromassaggio vista mare: l'esperienza wellness come motivo del soggiorno, non un plus accessorio.</w:t>
            </w:r>
          </w:p>
        </w:tc>
        <w:tc>
          <w:tcPr>
            <w:tcW w:type="dxa" w:w="2160"/>
            <w:shd w:val="clear" w:color="auto" w:fill="EEF2F1"/>
          </w:tcPr>
          <w:p>
            <w:r>
              <w:rPr>
                <w:sz w:val="19"/>
              </w:rPr>
              <w:t>Finestra più breve e spontanea per i city-break, più lunga per occasioni speciali; ipotesi da validare</w:t>
            </w:r>
          </w:p>
        </w:tc>
      </w:tr>
      <w:tr>
        <w:tc>
          <w:tcPr>
            <w:tcW w:type="dxa" w:w="2160"/>
          </w:tcPr>
          <w:p>
            <w:r>
              <w:rPr>
                <w:sz w:val="19"/>
              </w:rPr>
              <w:t>Viaggiatore singolo / business non gestito (fiere ed eventi)</w:t>
            </w:r>
          </w:p>
        </w:tc>
        <w:tc>
          <w:tcPr>
            <w:tcW w:type="dxa" w:w="2160"/>
          </w:tcPr>
          <w:p>
            <w:r>
              <w:rPr>
                <w:sz w:val="19"/>
              </w:rPr>
              <w:t>46% 'solo' Booking (quota leisure e business non distinguibile nel dato), 2,9% tag business puro</w:t>
            </w:r>
          </w:p>
        </w:tc>
        <w:tc>
          <w:tcPr>
            <w:tcW w:type="dxa" w:w="2160"/>
          </w:tcPr>
          <w:p>
            <w:r>
              <w:rPr>
                <w:sz w:val="19"/>
              </w:rPr>
              <w:t>Soggiorno pratico vicino a fiera/evento con posizione centrale a 50 metri dal mare, Wi-Fi gratuito, reception 24h: risposta rapida a un bisogno operativo, non a un sogno di vacanza.</w:t>
            </w:r>
          </w:p>
        </w:tc>
        <w:tc>
          <w:tcPr>
            <w:tcW w:type="dxa" w:w="2160"/>
          </w:tcPr>
          <w:p>
            <w:r>
              <w:rPr>
                <w:sz w:val="19"/>
              </w:rPr>
              <w:t>Finestra corta, spesso a ridosso della data evento; coerente con il profilo 'unmanaged' del segmento business</w:t>
            </w:r>
          </w:p>
        </w:tc>
      </w:tr>
    </w:tbl>
    <w:p>
      <w:pPr>
        <w:spacing w:after="160"/>
      </w:pPr>
    </w:p>
    <w:p>
      <w:r>
        <w:t>Il peso del segmento 'viaggiatore singolo' (46%) non va comunicato come fosse un target unico: contiene sia singoli leisure sia partecipanti a fiere e corsi che prenotano in autonomia. I due messaggi restano distinti anche se il tag di origine è lo stesso.</w:t>
      </w:r>
    </w:p>
    <w:p>
      <w:pPr>
        <w:spacing w:before="160" w:after="40"/>
      </w:pPr>
      <w:r>
        <w:rPr>
          <w:b/>
          <w:color w:val="2F5D62"/>
          <w:sz w:val="24"/>
        </w:rPr>
        <w:t>Obiettivi misurabili</w:t>
      </w:r>
    </w:p>
    <w:p>
      <w:pPr>
        <w:pStyle w:val="ListBullet"/>
      </w:pPr>
      <w:r>
        <w:t>Pubblicare entro la prossima stagione commerciale almeno una pagina/contenuto per segmento che usi esplicitamente il lessico di formula (famiglia, coppia/wellness, business-fiera), oggi assente in questa forma strutturata</w:t>
      </w:r>
    </w:p>
    <w:p>
      <w:pPr>
        <w:pStyle w:val="ListBullet"/>
      </w:pPr>
      <w:r>
        <w:t>Impostare la raccolta contatti post-soggiorno per il segmento famiglia come obiettivo di processo (non esiste oggi una baseline di iscritti da cui partire)</w:t>
      </w:r>
    </w:p>
    <w:p>
      <w:pPr>
        <w:pStyle w:val="ListBullet"/>
      </w:pPr>
      <w:r>
        <w:t>Verificare e, se necessario, costruire la presenza/offerta dedicata per il segmento business-fiera sulle pagine evento già esistenti, come obiettivo di processo</w:t>
      </w:r>
    </w:p>
    <w:p>
      <w:pPr>
        <w:spacing w:before="160" w:after="40"/>
      </w:pPr>
      <w:r>
        <w:rPr>
          <w:b/>
          <w:color w:val="2F5D62"/>
          <w:sz w:val="24"/>
        </w:rPr>
        <w:t>Azioni</w:t>
      </w:r>
    </w:p>
    <w:p>
      <w:pPr>
        <w:pStyle w:val="ListBullet"/>
      </w:pPr>
      <w:r>
        <w:t>Il sentiment verso l'area bambini e la piscina riscaldata è già molto positivo nelle recensioni delle famiglie: senza un messaggio che nomini formula famiglia, fascia d'età dei bambini gratuiti e spiaggia convenzionata inclusa, quella soddisfazione resta intrappolata nella singola recensione e non si traduce in prenotazione diretta. L'azione è riscrivere i contenuti family (sito e pagina offerte) con questo lessico esplicito, affiancandoli a foto delle aree bambini raccolte nei prossimi mesi di apertura.</w:t>
      </w:r>
    </w:p>
    <w:p>
      <w:pPr>
        <w:pStyle w:val="ListBullet"/>
      </w:pPr>
      <w:r>
        <w:t>Il segmento coppia cita l'area wellness con linguaggio entusiastico, ma le pagine dedicate al pubblico romantico sul sito non recuperano ancora questo lessico in modo sistematico (board, formula, prodotto). Va costruito un messaggio coppia-wellness che integri sauna panoramica gratuita e terrazza idromassaggio come racconto di esperienza, non come elenco di dotazioni.</w:t>
      </w:r>
    </w:p>
    <w:p>
      <w:pPr>
        <w:pStyle w:val="ListBullet"/>
      </w:pPr>
      <w:r>
        <w:t>Il tag 'viaggiatori per affari' è marginale (2,9%) ma il sito presenta già pagine su fiere ed eventi reali (congressi, Rimini Wellness, circuito di Misano): il gap non è di prodotto ma di messaggio dedicato. Va costruita per ciascun evento ricorrente una pagina/offerta con lessico operativo (posizione, parcheggio, Wi-Fi, orari reception), da attivare in prossimità delle date evento.</w:t>
      </w:r>
    </w:p>
    <w:p>
      <w:pPr>
        <w:pStyle w:val="ListBullet"/>
      </w:pPr>
      <w:r>
        <w:t>Il 46% 'solo traveller' è un tag di occupazione camera, non un segmento di marketing: va scomposto nei due messaggi reali (singolo leisure vicino al mare, singolo business-fiera) evitando una comunicazione indifferenziata che non parla a nessuno dei due.</w:t>
      </w:r>
    </w:p>
    <w:p>
      <w:pPr>
        <w:spacing w:before="160" w:after="40"/>
      </w:pPr>
      <w:r>
        <w:rPr>
          <w:b/>
          <w:color w:val="2F5D62"/>
          <w:sz w:val="24"/>
        </w:rPr>
        <w:t>KPI</w:t>
      </w:r>
    </w:p>
    <w:p>
      <w:r>
        <w:t>I KPI numerici di controllo per questi obiettivi sono raccolti in sez. 06 (Misurazione); qui si fissano solo gli obiettivi di processo sopra elencati.</w:t>
      </w:r>
    </w:p>
    <w:p>
      <w:pPr>
        <w:spacing w:before="160" w:after="40"/>
      </w:pPr>
      <w:r>
        <w:rPr>
          <w:b/>
          <w:color w:val="2F5D62"/>
          <w:sz w:val="24"/>
        </w:rPr>
        <w:t>Note esecutive</w:t>
      </w:r>
    </w:p>
    <w:p>
      <w:pPr>
        <w:pStyle w:val="ListBullet"/>
      </w:pPr>
      <w:r>
        <w:t>Il lessico di formula (mezza pensione/pensione completa, famiglia 2+2, bambini gratuiti per fascia d'età, ombrellone e lettini incluso) è condizione necessaria per ogni contenuto family: senza quel lessico il messaggio resta generico e non intercetta la domanda di ricerca già descritta nelle sezioni di posizionamento.</w:t>
      </w:r>
    </w:p>
    <w:p>
      <w:pPr>
        <w:pStyle w:val="ListBullet"/>
      </w:pPr>
      <w:r>
        <w:t>Il messaggio business-fiera resta complementare e stagionalmente vincolato: la coerenza con le date evento e con il periodo di apertura della struttura è trattata nel dettaglio della roadmap (sez. 05).</w:t>
      </w:r>
    </w:p>
    <w:p>
      <w:pPr>
        <w:pStyle w:val="ListBullet"/>
      </w:pPr>
      <w:r>
        <w:t>Per il segmento coppia e famiglia, la raccolta contatti post-soggiorno (CRM) è il presupposto per attivare il loyalty loop descritto nel modello operativo: la sua progettazione di dettaglio è trattata nella sezione dedicata a comunicazione e retention.</w:t>
      </w:r>
    </w:p>
    <w:p>
      <w:r>
        <w:br w:type="page"/>
      </w:r>
    </w:p>
    <w:p>
      <w:pPr>
        <w:spacing w:after="0"/>
      </w:pPr>
      <w:r>
        <w:rPr>
          <w:b/>
          <w:color w:val="2F5D62"/>
          <w:sz w:val="18"/>
        </w:rPr>
        <w:t>SEZIONE 03</w:t>
      </w:r>
    </w:p>
    <w:p>
      <w:pPr>
        <w:spacing w:after="200"/>
        <w:pBdr>
          <w:bottom w:val="single" w:sz="18" w:space="6" w:color="2F5D62"/>
        </w:pBdr>
      </w:pPr>
      <w:r>
        <w:rPr>
          <w:b/>
          <w:color w:val="1A1A2E"/>
          <w:sz w:val="40"/>
        </w:rPr>
        <w:t>Strategia di canale (core)</w:t>
      </w:r>
    </w:p>
    <w:p>
      <w:pPr>
        <w:spacing w:before="160" w:after="40"/>
      </w:pPr>
      <w:r>
        <w:rPr>
          <w:b/>
          <w:color w:val="2F5D62"/>
          <w:sz w:val="24"/>
        </w:rPr>
        <w:t>Matrice dei canali (decision record — verità del piano)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Canale</w:t>
            </w:r>
          </w:p>
        </w:tc>
        <w:tc>
          <w:tcPr>
            <w:tcW w:type="dxa" w:w="1728"/>
            <w:shd w:val="clear" w:color="auto" w:fill="2F5D62"/>
          </w:tcPr>
          <w:p>
            <w:r>
              <w:rPr>
                <w:b/>
                <w:color w:val="FFFFFF"/>
                <w:sz w:val="19"/>
              </w:rPr>
              <w:t>Verdetto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Motivo</w:t>
            </w:r>
          </w:p>
        </w:tc>
        <w:tc>
          <w:tcPr>
            <w:tcW w:type="dxa" w:w="1728"/>
            <w:shd w:val="clear" w:color="auto" w:fill="2F5D62"/>
          </w:tcPr>
          <w:p>
            <w:r>
              <w:rPr>
                <w:b/>
                <w:color w:val="FFFFFF"/>
                <w:sz w:val="19"/>
              </w:rPr>
              <w:t>Dipendenze</w:t>
            </w:r>
          </w:p>
        </w:tc>
      </w:tr>
      <w:tr>
        <w:tc>
          <w:tcPr>
            <w:tcW w:type="dxa" w:w="1728"/>
          </w:tcPr>
          <w:p>
            <w:r>
              <w:rPr>
                <w:sz w:val="19"/>
              </w:rPr>
              <w:t>SEO organico</w:t>
            </w:r>
          </w:p>
        </w:tc>
        <w:tc>
          <w:tcPr>
            <w:tcW w:type="dxa" w:w="1728"/>
          </w:tcPr>
          <w:p>
            <w:r>
              <w:rPr>
                <w:sz w:val="19"/>
              </w:rPr>
              <w:t>Attivare (prioritario)</w:t>
            </w:r>
          </w:p>
        </w:tc>
        <w:tc>
          <w:tcPr>
            <w:tcW w:type="dxa" w:w="1728"/>
          </w:tcPr>
          <w:p>
            <w:r>
              <w:rPr>
                <w:sz w:val="19"/>
              </w:rPr>
              <w:t>alta</w:t>
            </w:r>
          </w:p>
        </w:tc>
        <w:tc>
          <w:tcPr>
            <w:tcW w:type="dxa" w:w="1728"/>
          </w:tcPr>
          <w:p>
            <w:r>
              <w:rPr>
                <w:sz w:val="19"/>
              </w:rPr>
              <w:t>22 keyword su 22 in gap (100%); 47410 ricerche/mese di domanda non presidiata. On-site: mancano dati strutturati per i rich result (breadcrumb, faq, review); title/meta/H1 da rifinire su https://www.hotelroyalriccione.it/outdoor-spa/, https://www.hotelroyalriccione.it/it/oltremare.php.</w:t>
            </w:r>
          </w:p>
        </w:tc>
        <w:tc>
          <w:tcPr>
            <w:tcW w:type="dxa" w:w="1728"/>
          </w:tcPr>
          <w:p>
            <w:r>
              <w:rPr>
                <w:sz w:val="19"/>
              </w:rPr>
              <w:t>—</w:t>
            </w:r>
          </w:p>
        </w:tc>
      </w:tr>
      <w:tr>
        <w:tc>
          <w:tcPr>
            <w:tcW w:type="dxa" w:w="1728"/>
            <w:shd w:val="clear" w:color="auto" w:fill="EEF2F1"/>
          </w:tcPr>
          <w:p>
            <w:r>
              <w:rPr>
                <w:sz w:val="19"/>
              </w:rPr>
              <w:t>Search advertising (Google Ads)</w:t>
            </w:r>
          </w:p>
        </w:tc>
        <w:tc>
          <w:tcPr>
            <w:tcW w:type="dxa" w:w="1728"/>
            <w:shd w:val="clear" w:color="auto" w:fill="EEF2F1"/>
          </w:tcPr>
          <w:p>
            <w:r>
              <w:rPr>
                <w:sz w:val="19"/>
              </w:rPr>
              <w:t>Attivare (stagionale)</w:t>
            </w:r>
          </w:p>
        </w:tc>
        <w:tc>
          <w:tcPr>
            <w:tcW w:type="dxa" w:w="1728"/>
            <w:shd w:val="clear" w:color="auto" w:fill="EEF2F1"/>
          </w:tcPr>
          <w:p>
            <w:r>
              <w:rPr>
                <w:sz w:val="19"/>
              </w:rPr>
              <w:t>media</w:t>
            </w:r>
          </w:p>
        </w:tc>
        <w:tc>
          <w:tcPr>
            <w:tcW w:type="dxa" w:w="1728"/>
            <w:shd w:val="clear" w:color="auto" w:fill="EEF2F1"/>
          </w:tcPr>
          <w:p>
            <w:r>
              <w:rPr>
                <w:sz w:val="19"/>
              </w:rPr>
              <w:t>82% della domanda misurata è ad alta competizione: la search advertising presidia le query commerciali dove l'organico non arriva in tempo, su doppia finestra (anticipo di mercato + sotto-data).</w:t>
            </w:r>
          </w:p>
        </w:tc>
        <w:tc>
          <w:tcPr>
            <w:tcW w:type="dxa" w:w="1728"/>
            <w:shd w:val="clear" w:color="auto" w:fill="EEF2F1"/>
          </w:tcPr>
          <w:p>
            <w:r>
              <w:rPr>
                <w:sz w:val="19"/>
              </w:rPr>
              <w:t>—</w:t>
            </w:r>
          </w:p>
        </w:tc>
      </w:tr>
      <w:tr>
        <w:tc>
          <w:tcPr>
            <w:tcW w:type="dxa" w:w="1728"/>
          </w:tcPr>
          <w:p>
            <w:r>
              <w:rPr>
                <w:sz w:val="19"/>
              </w:rPr>
              <w:t>Metasearch (Google Hotel Ads, Trivago)</w:t>
            </w:r>
          </w:p>
        </w:tc>
        <w:tc>
          <w:tcPr>
            <w:tcW w:type="dxa" w:w="1728"/>
          </w:tcPr>
          <w:p>
            <w:r>
              <w:rPr>
                <w:sz w:val="19"/>
              </w:rPr>
              <w:t>Non ora</w:t>
            </w:r>
          </w:p>
        </w:tc>
        <w:tc>
          <w:tcPr>
            <w:tcW w:type="dxa" w:w="1728"/>
          </w:tcPr>
          <w:p>
            <w:r>
              <w:rPr>
                <w:sz w:val="19"/>
              </w:rPr>
              <w:t>bassa</w:t>
            </w:r>
          </w:p>
        </w:tc>
        <w:tc>
          <w:tcPr>
            <w:tcW w:type="dxa" w:w="1728"/>
          </w:tcPr>
          <w:p>
            <w:r>
              <w:rPr>
                <w:sz w:val="19"/>
              </w:rPr>
              <w:t>Dipendenza non verificata: booking diretto presidiato + rate parity.</w:t>
            </w:r>
          </w:p>
        </w:tc>
        <w:tc>
          <w:tcPr>
            <w:tcW w:type="dxa" w:w="1728"/>
          </w:tcPr>
          <w:p>
            <w:r>
              <w:rPr>
                <w:sz w:val="19"/>
              </w:rPr>
              <w:t>booking_diretto, rate_parity</w:t>
            </w:r>
          </w:p>
        </w:tc>
      </w:tr>
      <w:tr>
        <w:tc>
          <w:tcPr>
            <w:tcW w:type="dxa" w:w="1728"/>
            <w:shd w:val="clear" w:color="auto" w:fill="EEF2F1"/>
          </w:tcPr>
          <w:p>
            <w:r>
              <w:rPr>
                <w:sz w:val="19"/>
              </w:rPr>
              <w:t>Sito &amp; booking diretto</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Canale diretto: consolidare la conversione e spingere la quota diretta. La pagina offerte esiste (https://www.hotelroyalriccione.it/offerte/): ottimizzarla (schema Offer, CTA, prenota-prima).</w:t>
            </w:r>
          </w:p>
        </w:tc>
        <w:tc>
          <w:tcPr>
            <w:tcW w:type="dxa" w:w="1728"/>
            <w:shd w:val="clear" w:color="auto" w:fill="EEF2F1"/>
          </w:tcPr>
          <w:p>
            <w:r>
              <w:rPr>
                <w:sz w:val="19"/>
              </w:rPr>
              <w:t>—</w:t>
            </w:r>
          </w:p>
        </w:tc>
      </w:tr>
      <w:tr>
        <w:tc>
          <w:tcPr>
            <w:tcW w:type="dxa" w:w="1728"/>
          </w:tcPr>
          <w:p>
            <w:r>
              <w:rPr>
                <w:sz w:val="19"/>
              </w:rPr>
              <w:t>OTA / distribuzione</w:t>
            </w:r>
          </w:p>
        </w:tc>
        <w:tc>
          <w:tcPr>
            <w:tcW w:type="dxa" w:w="1728"/>
          </w:tcPr>
          <w:p>
            <w:r>
              <w:rPr>
                <w:sz w:val="19"/>
              </w:rPr>
              <w:t>Mantenere</w:t>
            </w:r>
          </w:p>
        </w:tc>
        <w:tc>
          <w:tcPr>
            <w:tcW w:type="dxa" w:w="1728"/>
          </w:tcPr>
          <w:p>
            <w:r>
              <w:rPr>
                <w:sz w:val="19"/>
              </w:rPr>
              <w:t>bassa</w:t>
            </w:r>
          </w:p>
        </w:tc>
        <w:tc>
          <w:tcPr>
            <w:tcW w:type="dxa" w:w="1728"/>
          </w:tcPr>
          <w:p>
            <w:r>
              <w:rPr>
                <w:sz w:val="19"/>
              </w:rPr>
              <w:t>Distribuzione OTA da governare per il billboard effect: mantenere presenza e visibilità, spostando progressivamente quota sul canale diretto quando la parità regge.</w:t>
            </w:r>
          </w:p>
        </w:tc>
        <w:tc>
          <w:tcPr>
            <w:tcW w:type="dxa" w:w="1728"/>
          </w:tcPr>
          <w:p>
            <w:r>
              <w:rPr>
                <w:sz w:val="19"/>
              </w:rPr>
              <w:t>booking_diretto, rate_parity</w:t>
            </w:r>
          </w:p>
        </w:tc>
      </w:tr>
      <w:tr>
        <w:tc>
          <w:tcPr>
            <w:tcW w:type="dxa" w:w="1728"/>
            <w:shd w:val="clear" w:color="auto" w:fill="EEF2F1"/>
          </w:tcPr>
          <w:p>
            <w:r>
              <w:rPr>
                <w:sz w:val="19"/>
              </w:rPr>
              <w:t>Social organico</w:t>
            </w:r>
          </w:p>
        </w:tc>
        <w:tc>
          <w:tcPr>
            <w:tcW w:type="dxa" w:w="1728"/>
            <w:shd w:val="clear" w:color="auto" w:fill="EEF2F1"/>
          </w:tcPr>
          <w:p>
            <w:r>
              <w:rPr>
                <w:sz w:val="19"/>
              </w:rPr>
              <w:t>Rafforzare</w:t>
            </w:r>
          </w:p>
        </w:tc>
        <w:tc>
          <w:tcPr>
            <w:tcW w:type="dxa" w:w="1728"/>
            <w:shd w:val="clear" w:color="auto" w:fill="EEF2F1"/>
          </w:tcPr>
          <w:p>
            <w:r>
              <w:rPr>
                <w:sz w:val="19"/>
              </w:rPr>
              <w:t>media</w:t>
            </w:r>
          </w:p>
        </w:tc>
        <w:tc>
          <w:tcPr>
            <w:tcW w:type="dxa" w:w="1728"/>
            <w:shd w:val="clear" w:color="auto" w:fill="EEF2F1"/>
          </w:tcPr>
          <w:p>
            <w:r>
              <w:rPr>
                <w:sz w:val="19"/>
              </w:rPr>
              <w:t>10 asset visuali forti nel profilo (piscina/benessere/fronte mare/terrazza): raccogliere contenuto in stagione e potenziare la presenza organica.</w:t>
            </w:r>
          </w:p>
        </w:tc>
        <w:tc>
          <w:tcPr>
            <w:tcW w:type="dxa" w:w="1728"/>
            <w:shd w:val="clear" w:color="auto" w:fill="EEF2F1"/>
          </w:tcPr>
          <w:p>
            <w:r>
              <w:rPr>
                <w:sz w:val="19"/>
              </w:rPr>
              <w:t>—</w:t>
            </w:r>
          </w:p>
        </w:tc>
      </w:tr>
      <w:tr>
        <w:tc>
          <w:tcPr>
            <w:tcW w:type="dxa" w:w="1728"/>
          </w:tcPr>
          <w:p>
            <w:r>
              <w:rPr>
                <w:sz w:val="19"/>
              </w:rPr>
              <w:t>Social advertising</w:t>
            </w:r>
          </w:p>
        </w:tc>
        <w:tc>
          <w:tcPr>
            <w:tcW w:type="dxa" w:w="1728"/>
          </w:tcPr>
          <w:p>
            <w:r>
              <w:rPr>
                <w:sz w:val="19"/>
              </w:rPr>
              <w:t>Mantenere</w:t>
            </w:r>
          </w:p>
        </w:tc>
        <w:tc>
          <w:tcPr>
            <w:tcW w:type="dxa" w:w="1728"/>
          </w:tcPr>
          <w:p>
            <w:r>
              <w:rPr>
                <w:sz w:val="19"/>
              </w:rPr>
              <w:t>bassa</w:t>
            </w:r>
          </w:p>
        </w:tc>
        <w:tc>
          <w:tcPr>
            <w:tcW w:type="dxa" w:w="1728"/>
          </w:tcPr>
          <w:p>
            <w:r>
              <w:rPr>
                <w:sz w:val="19"/>
              </w:rPr>
              <w:t>Advertising social da attivare su segmenti e finestre stagionali definite: finestra ancorata al picco reale.</w:t>
            </w:r>
          </w:p>
        </w:tc>
        <w:tc>
          <w:tcPr>
            <w:tcW w:type="dxa" w:w="1728"/>
          </w:tcPr>
          <w:p>
            <w:r>
              <w:rPr>
                <w:sz w:val="19"/>
              </w:rPr>
              <w:t>—</w:t>
            </w:r>
          </w:p>
        </w:tc>
      </w:tr>
      <w:tr>
        <w:tc>
          <w:tcPr>
            <w:tcW w:type="dxa" w:w="1728"/>
            <w:shd w:val="clear" w:color="auto" w:fill="EEF2F1"/>
          </w:tcPr>
          <w:p>
            <w:r>
              <w:rPr>
                <w:sz w:val="19"/>
              </w:rPr>
              <w:t>Email &amp; CRM</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Quota famiglie+coppie contenuta (40%): CRM utile ma non prioritario sul mix attuale.</w:t>
            </w:r>
          </w:p>
        </w:tc>
        <w:tc>
          <w:tcPr>
            <w:tcW w:type="dxa" w:w="1728"/>
            <w:shd w:val="clear" w:color="auto" w:fill="EEF2F1"/>
          </w:tcPr>
          <w:p>
            <w:r>
              <w:rPr>
                <w:sz w:val="19"/>
              </w:rPr>
              <w:t>—</w:t>
            </w:r>
          </w:p>
        </w:tc>
      </w:tr>
      <w:tr>
        <w:tc>
          <w:tcPr>
            <w:tcW w:type="dxa" w:w="1728"/>
          </w:tcPr>
          <w:p>
            <w:r>
              <w:rPr>
                <w:sz w:val="19"/>
              </w:rPr>
              <w:t>Reputation &amp; gestione recensioni</w:t>
            </w:r>
          </w:p>
        </w:tc>
        <w:tc>
          <w:tcPr>
            <w:tcW w:type="dxa" w:w="1728"/>
          </w:tcPr>
          <w:p>
            <w:r>
              <w:rPr>
                <w:sz w:val="19"/>
              </w:rPr>
              <w:t>Mantenere</w:t>
            </w:r>
          </w:p>
        </w:tc>
        <w:tc>
          <w:tcPr>
            <w:tcW w:type="dxa" w:w="1728"/>
          </w:tcPr>
          <w:p>
            <w:r>
              <w:rPr>
                <w:sz w:val="19"/>
              </w:rPr>
              <w:t>bassa</w:t>
            </w:r>
          </w:p>
        </w:tc>
        <w:tc>
          <w:tcPr>
            <w:tcW w:type="dxa" w:w="1728"/>
          </w:tcPr>
          <w:p>
            <w:r>
              <w:rPr>
                <w:sz w:val="19"/>
              </w:rPr>
              <w:t>Presidio reputazione da mantenere (canale trasversale al journey).</w:t>
            </w:r>
          </w:p>
        </w:tc>
        <w:tc>
          <w:tcPr>
            <w:tcW w:type="dxa" w:w="1728"/>
          </w:tcPr>
          <w:p>
            <w:r>
              <w:rPr>
                <w:sz w:val="19"/>
              </w:rPr>
              <w:t>—</w:t>
            </w:r>
          </w:p>
        </w:tc>
      </w:tr>
      <w:tr>
        <w:tc>
          <w:tcPr>
            <w:tcW w:type="dxa" w:w="1728"/>
            <w:shd w:val="clear" w:color="auto" w:fill="EEF2F1"/>
          </w:tcPr>
          <w:p>
            <w:r>
              <w:rPr>
                <w:sz w:val="19"/>
              </w:rPr>
              <w:t>AEO / assistenti AI</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Audit AEO parziale/provvisorio (copertura provider incompleta): trattare come segnale, non come baseline consolidata.</w:t>
            </w:r>
          </w:p>
        </w:tc>
        <w:tc>
          <w:tcPr>
            <w:tcW w:type="dxa" w:w="1728"/>
            <w:shd w:val="clear" w:color="auto" w:fill="EEF2F1"/>
          </w:tcPr>
          <w:p>
            <w:r>
              <w:rPr>
                <w:sz w:val="19"/>
              </w:rPr>
              <w:t>—</w:t>
            </w:r>
          </w:p>
        </w:tc>
      </w:tr>
      <w:tr>
        <w:tc>
          <w:tcPr>
            <w:tcW w:type="dxa" w:w="1728"/>
          </w:tcPr>
          <w:p>
            <w:r>
              <w:rPr>
                <w:sz w:val="19"/>
              </w:rPr>
              <w:t>Mercato DACH (area di lingua tedesca)</w:t>
            </w:r>
          </w:p>
        </w:tc>
        <w:tc>
          <w:tcPr>
            <w:tcW w:type="dxa" w:w="1728"/>
          </w:tcPr>
          <w:p>
            <w:r>
              <w:rPr>
                <w:sz w:val="19"/>
              </w:rPr>
              <w:t>Mantenere</w:t>
            </w:r>
          </w:p>
        </w:tc>
        <w:tc>
          <w:tcPr>
            <w:tcW w:type="dxa" w:w="1728"/>
          </w:tcPr>
          <w:p>
            <w:r>
              <w:rPr>
                <w:sz w:val="19"/>
              </w:rPr>
              <w:t>bassa</w:t>
            </w:r>
          </w:p>
        </w:tc>
        <w:tc>
          <w:tcPr>
            <w:tcW w:type="dxa" w:w="1728"/>
          </w:tcPr>
          <w:p>
            <w:r>
              <w:rPr>
                <w:sz w:val="19"/>
              </w:rPr>
              <w:t>Presenza DACH marginale (tedeschi 3%).</w:t>
            </w:r>
          </w:p>
        </w:tc>
        <w:tc>
          <w:tcPr>
            <w:tcW w:type="dxa" w:w="1728"/>
          </w:tcPr>
          <w:p>
            <w:r>
              <w:rPr>
                <w:sz w:val="19"/>
              </w:rPr>
              <w:t>—</w:t>
            </w:r>
          </w:p>
        </w:tc>
      </w:tr>
      <w:tr>
        <w:tc>
          <w:tcPr>
            <w:tcW w:type="dxa" w:w="1728"/>
            <w:shd w:val="clear" w:color="auto" w:fill="EEF2F1"/>
          </w:tcPr>
          <w:p>
            <w:r>
              <w:rPr>
                <w:sz w:val="19"/>
              </w:rPr>
              <w:t>Segmento business / MICE</w:t>
            </w:r>
          </w:p>
        </w:tc>
        <w:tc>
          <w:tcPr>
            <w:tcW w:type="dxa" w:w="1728"/>
            <w:shd w:val="clear" w:color="auto" w:fill="EEF2F1"/>
          </w:tcPr>
          <w:p>
            <w:r>
              <w:rPr>
                <w:sz w:val="19"/>
              </w:rPr>
              <w:t>Non ora</w:t>
            </w:r>
          </w:p>
        </w:tc>
        <w:tc>
          <w:tcPr>
            <w:tcW w:type="dxa" w:w="1728"/>
            <w:shd w:val="clear" w:color="auto" w:fill="EEF2F1"/>
          </w:tcPr>
          <w:p>
            <w:r>
              <w:rPr>
                <w:sz w:val="19"/>
              </w:rPr>
              <w:t>bassa</w:t>
            </w:r>
          </w:p>
        </w:tc>
        <w:tc>
          <w:tcPr>
            <w:tcW w:type="dxa" w:w="1728"/>
            <w:shd w:val="clear" w:color="auto" w:fill="EEF2F1"/>
          </w:tcPr>
          <w:p>
            <w:r>
              <w:rPr>
                <w:sz w:val="19"/>
              </w:rPr>
              <w:t>Domanda business marginale (3%) pur con fiere in stagione.</w:t>
            </w:r>
          </w:p>
        </w:tc>
        <w:tc>
          <w:tcPr>
            <w:tcW w:type="dxa" w:w="1728"/>
            <w:shd w:val="clear" w:color="auto" w:fill="EEF2F1"/>
          </w:tcPr>
          <w:p>
            <w:r>
              <w:rPr>
                <w:sz w:val="19"/>
              </w:rPr>
              <w:t>—</w:t>
            </w:r>
          </w:p>
        </w:tc>
      </w:tr>
      <w:tr>
        <w:tc>
          <w:tcPr>
            <w:tcW w:type="dxa" w:w="1728"/>
          </w:tcPr>
          <w:p>
            <w:r>
              <w:rPr>
                <w:sz w:val="19"/>
              </w:rPr>
              <w:t>Local &amp; Google Business Profile</w:t>
            </w:r>
          </w:p>
        </w:tc>
        <w:tc>
          <w:tcPr>
            <w:tcW w:type="dxa" w:w="1728"/>
          </w:tcPr>
          <w:p>
            <w:r>
              <w:rPr>
                <w:sz w:val="19"/>
              </w:rPr>
              <w:t>Mantenere</w:t>
            </w:r>
          </w:p>
        </w:tc>
        <w:tc>
          <w:tcPr>
            <w:tcW w:type="dxa" w:w="1728"/>
          </w:tcPr>
          <w:p>
            <w:r>
              <w:rPr>
                <w:sz w:val="19"/>
              </w:rPr>
              <w:t>bassa</w:t>
            </w:r>
          </w:p>
        </w:tc>
        <w:tc>
          <w:tcPr>
            <w:tcW w:type="dxa" w:w="1728"/>
          </w:tcPr>
          <w:p>
            <w:r>
              <w:rPr>
                <w:sz w:val="19"/>
              </w:rPr>
              <w:t>Dati strutturati di attività locale presenti (con indirizzo): mantenere con gestione recensioni.</w:t>
            </w:r>
          </w:p>
        </w:tc>
        <w:tc>
          <w:tcPr>
            <w:tcW w:type="dxa" w:w="1728"/>
          </w:tcPr>
          <w:p>
            <w:r>
              <w:rPr>
                <w:sz w:val="19"/>
              </w:rPr>
              <w:t>—</w:t>
            </w:r>
          </w:p>
        </w:tc>
      </w:tr>
    </w:tbl>
    <w:p>
      <w:pPr>
        <w:spacing w:after="160"/>
      </w:pPr>
    </w:p>
    <w:p>
      <w:r>
        <w:t>La matrice fissa una sola priorità vera per questa fase: colmare il vuoto organico e di visibilità AI, perché è lì che il Royal Boutique Hotel perde la partita prima ancora di giocarla — la domanda cerca piscina riscaldata, spa e posizione mare, e oggi non trova la struttura né su Google né, quando interrogati, sugli assistenti conversazionali. Tutto il resto del mix — diretto, metasearch, CRM, business — resta subordinato a verifiche propedeutiche che vanno risolte prima di spostare budget, non perché quei canali non contino, ma perché investirci ora senza i prerequisiti a posto brucerebbe risorse senza ritorno misurabile. L'OTA resta il canale gestito e già funzionante su cui non serve una correzione di rotta, ma solo coerenza nei contenuti.</w:t>
      </w:r>
    </w:p>
    <w:p>
      <w:pPr>
        <w:spacing w:before="160" w:after="40"/>
      </w:pPr>
      <w:r>
        <w:rPr>
          <w:b/>
          <w:color w:val="2F5D62"/>
          <w:sz w:val="24"/>
        </w:rPr>
        <w:t>Obiettivi misurabili</w:t>
      </w:r>
    </w:p>
    <w:p>
      <w:pPr>
        <w:pStyle w:val="ListBullet"/>
      </w:pPr>
      <w:r>
        <w:t>Presidiare in top 10 un primo nucleo di keyword non-brand ad alto volume coerenti con gli USP reali (piscina, spa, posizione mare), oggi a zero presidio su 22 in gap</w:t>
      </w:r>
    </w:p>
    <w:p>
      <w:pPr>
        <w:pStyle w:val="ListBullet"/>
      </w:pPr>
      <w:r>
        <w:t>Completare l'audit di visibilità sugli assistenti AI (Gemini, Perplexity) con credenziali valide, oggi mancante per errore tecnico</w:t>
      </w:r>
    </w:p>
    <w:p>
      <w:pPr>
        <w:pStyle w:val="ListBullet"/>
      </w:pPr>
      <w:r>
        <w:t>Verificare lo stato di rate parity sui metasearch come obiettivo di processo (nessuna baseline disponibile oggi)</w:t>
      </w:r>
    </w:p>
    <w:p>
      <w:pPr>
        <w:pStyle w:val="ListBullet"/>
      </w:pPr>
      <w:r>
        <w:t>Attivare un flusso di raccolta contatti post-stay come obiettivo di processo (nessun sistema CRM rilevato oggi)</w:t>
      </w:r>
    </w:p>
    <w:p>
      <w:pPr>
        <w:spacing w:before="160" w:after="40"/>
      </w:pPr>
      <w:r>
        <w:rPr>
          <w:b/>
          <w:color w:val="2F5D62"/>
          <w:sz w:val="24"/>
        </w:rPr>
        <w:t>Azioni</w:t>
      </w:r>
    </w:p>
    <w:p>
      <w:r>
        <w:t>Il gap organico non è un problema di reputazione ma di intercettazione: la struttura ha argomenti reali — l'area wellness su tre livelli, la sauna panoramica di prossima introduzione, i 50 metri dal mare — che semplicemente non sono tradotti in pagine e contenuti capaci di comparire quando qualcuno cerca «hotel riccione con piscina» o «hotel con spa riccione». La priorità operativa immediata è quindi un lavoro di contenuto mirato su queste query: rafforzare le pagine già esistenti su spa, camere e offerte con blocchi testuali e dati strutturati che rispondano esplicitamente alle domande di ricerca più frequenti, e chiudere i vuoti di markup oggi assenti (FAQ, recensioni, local business) che impediscono al sito di essere letto correttamente sia dai motori di ricerca che dagli assistenti conversazionali.</w:t>
      </w:r>
    </w:p>
    <w:p>
      <w:r>
        <w:t>Parallelamente, l'assenza della struttura nelle risposte degli assistenti AI, mentre i competitor diretti vengono citati per nome, segnala che il problema non è solo di ranking ma di leggibilità fattuale: un assistente deve poter estrarre con certezza chi è il Royal Boutique Hotel, cosa offre e per chi è pensato. L'azione è costruire contenuti fattuali strutturati sugli attributi distintivi (tipologia spa, distanza dal mare, servizi famiglia) e garantire la coerenza delle informazioni tra sito, profilo Google e canali OTA, così da dare agli assistenti AI una base univoca da cui pescare. Questo lavoro va fatto prima di qualunque investimento pubblicitario sui canali di ricerca, perché un contenuto non leggibile non diventa performante solo aumentando il budget a monte.</w:t>
      </w:r>
    </w:p>
    <w:p>
      <w:r>
        <w:t>Sul fronte diretto, spingere oggi il booking engine con campagne o incentivi sarebbe prematuro: non è noto se il prezzo diretto sia alla pari o sopra quello mostrato sui motori di comparazione, e in quel caso ogni euro investito per portare traffico sul sito si scontrerebbe con una conversione quasi impossibile. L'azione propedeutica è una verifica di parity sui principali metasearch; solo una volta confermata la parità (o corretta la discrepanza) ha senso impostare una spinta dedicata al canale proprio, con priorità sul segmento coppia/wellness per cui il sito ha già pagine editoriali coerenti (fuga d'amore, offerte romantiche).</w:t>
      </w:r>
    </w:p>
    <w:p>
      <w:r>
        <w:t>Il mancato presidio del post-soggiorno è l'occasione più a basso rischio del mix: il sentiment sulle famiglie è già molto positivo e non esiste oggi alcun meccanismo per riportare quegli ospiti a prenotare di nuovo senza passare dall'OTA. L'azione è impostare una raccolta contatti strutturata al check-out (cartolina, QR, richiesta email) e un primo flusso automatico di ri-attivazione, a basso investimento e senza dipendenze da risolvere altrove: è il canale che si può accendere subito, in parallelo al lavoro SEO/AEO.</w:t>
      </w:r>
    </w:p>
    <w:p>
      <w:r>
        <w:t>Sul business/MICE, le pagine evento esistono già e sono tecnicamente strutturate, ma il segnale reale di clientela business captata resta marginale: prima di investire in promozione dedicata, l'azione è verificare se quelle pagine intercettano le query locali legate agli eventi (fiera, circuito, congresso) nel periodo corretto, usandole come hub stagionali da rafforzare solo se la domanda locale lo confermerà. Allo stesso modo per i social, oggi presenti ma senza alcun dato di performance: prima di allocare budget o tempo editoriale, va condotto un audit dedicato per capire da dove si parte.</w:t>
      </w:r>
    </w:p>
    <w:p>
      <w:pPr>
        <w:spacing w:before="160" w:after="40"/>
      </w:pPr>
      <w:r>
        <w:rPr>
          <w:b/>
          <w:color w:val="2F5D62"/>
          <w:sz w:val="24"/>
        </w:rPr>
        <w:t>KPI</w:t>
      </w:r>
    </w:p>
    <w:p>
      <w:r>
        <w:t>I KPI numerici di controllo per ciascuna azione sono raccolti in sezione 06 (Misurazione); qui si richiama solo la logica: visibilità organica e presenza negli assistenti AI per le azioni SEO/AEO, esito della verifica di parity per l'azione diretto/metasearch, crescita della base contatti per l'azione CRM.</w:t>
      </w:r>
    </w:p>
    <w:p>
      <w:pPr>
        <w:spacing w:before="160" w:after="40"/>
      </w:pPr>
      <w:r>
        <w:rPr>
          <w:b/>
          <w:color w:val="2F5D62"/>
          <w:sz w:val="24"/>
        </w:rPr>
        <w:t>Note esecutive</w:t>
      </w:r>
    </w:p>
    <w:p>
      <w:pPr>
        <w:pStyle w:val="ListBullet"/>
      </w:pPr>
      <w:r>
        <w:t>Le metriche tariffarie e di rendimento restano di competenza della struttura: questo piano non tocca prezzi e listini se non come vetrina sui canali indicati</w:t>
      </w:r>
    </w:p>
    <w:p>
      <w:pPr>
        <w:pStyle w:val="ListBullet"/>
      </w:pPr>
      <w:r>
        <w:t>L'ordine di sequenza nella matrice non è arbitrario: SEO/AEO non hanno dipendenze a monte e vanno avviate subito; diretto e metasearch restano condizionati dalla verifica di parity; CRM è a basso rischio e attivabile in parallelo; business e social restano in attesa di un audit dedicato</w:t>
      </w:r>
    </w:p>
    <w:p>
      <w:pPr>
        <w:pStyle w:val="ListBullet"/>
      </w:pPr>
      <w:r>
        <w:t>L'OTA non va trattata come un canale da ridurre ma da mantenere presidiato con contenuti coerenti: è oggi il canale su cui la struttura ha già un posizionamento solido</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mercati</w:t>
      </w:r>
    </w:p>
    <w:p>
      <w:r>
        <w:t>Le OTA restano oggi il canale di scoperta dominante per il Royal Boutique Hotel e vanno governate, non combattute: con una struttura ancora invisibile sulla ricerca organica (v. sez. 03) e priva di un canale diretto strutturato (v. sez. 01), rinunciare alla visibilità dei portali in questa fase significherebbe solo perdere prenotazioni, non guadagnare margine. Il lavoro di questa sezione è quindi duplice: alzare la qualità del presidio sui portali dove il cliente già converte, e aprire con disciplina un unico mercato estero coerente con l'asset wellness, senza disperdere budget su geografie non validate dalla domanda reale.</w:t>
      </w:r>
    </w:p>
    <w:p>
      <w:pPr>
        <w:spacing w:before="160" w:after="40"/>
      </w:pPr>
      <w:r>
        <w:rPr>
          <w:b/>
          <w:color w:val="2F5D62"/>
          <w:sz w:val="24"/>
        </w:rPr>
        <w:t>Obiettivi misurabili</w:t>
      </w:r>
    </w:p>
    <w:p>
      <w:pPr>
        <w:pStyle w:val="ListBullet"/>
      </w:pPr>
      <w:r>
        <w:t>Portare a completamento il rifacimento di scheda e gallery fotografica sui portali entro la riapertura stagionale (v. roadmap sez. 05), con focus sugli asset wellness e sulla prossimità al mare</w:t>
      </w:r>
    </w:p>
    <w:p>
      <w:pPr>
        <w:pStyle w:val="ListBullet"/>
      </w:pPr>
      <w:r>
        <w:t>Pubblicare la prima landing in lingua tedesca dedicata all'area wellness come obiettivo di processo (nessun target numerico: mercato da validare, v. sez. 08)</w:t>
      </w:r>
    </w:p>
    <w:p>
      <w:pPr>
        <w:pStyle w:val="ListBullet"/>
      </w:pPr>
      <w:r>
        <w:t>Verificare lo stato di parity tariffaria tra motore diretto e portali come prerequisito a qualunque investimento sul canale diretto (obiettivo di processo, baseline non disponibile)</w:t>
      </w:r>
    </w:p>
    <w:p>
      <w:pPr>
        <w:spacing w:before="160" w:after="40"/>
      </w:pPr>
      <w:r>
        <w:rPr>
          <w:b/>
          <w:color w:val="2F5D62"/>
          <w:sz w:val="24"/>
        </w:rPr>
        <w:t>Azioni</w:t>
      </w:r>
    </w:p>
    <w:p>
      <w:pPr>
        <w:pStyle w:val="ListBullet"/>
      </w:pPr>
      <w:r>
        <w:t>Il mix lingua recensioni mostra una clientela quasi interamente italiana, con la componente tedesca ancora marginale rispetto al peso che un asset come la spa su tre livelli potrebbe giustificare: finché la scheda portale comunica l'area wellness con foto e testi generici, la struttura non intercetta quella domanda neppure sui canali dove è già presente. L'azione è un restyling mirato di scheda, categorie servizio e gallery sui portali principali, con foto dedicate a piscina riscaldata, idromassaggi e sauna panoramica in posizione prioritaria, replicando lì il lessico di prodotto già previsto per il sito (v. sez. 02).</w:t>
      </w:r>
    </w:p>
    <w:p>
      <w:pPr>
        <w:pStyle w:val="ListBullet"/>
      </w:pPr>
      <w:r>
        <w:t>Lo stesso squilibrio tra asset wellness e presenza del mercato tedesco, oggi residuale nel mix lingue, indica un'opportunità da trattare come ipotesi da testare e non come mercato già acquisito: una pagina in lingua tedesca centrata sulla spa, affiancata da un pilota di campagna a performance nella finestra di prenotazione anticipata tipica di quel mercato (v. operating model), è il modo corretto di verificarla senza impegnare budget strutturale prima di una conferma di ritorno.</w:t>
      </w:r>
    </w:p>
    <w:p>
      <w:pPr>
        <w:pStyle w:val="ListBullet"/>
      </w:pPr>
      <w:r>
        <w:t>Gli altri mercati esteri presenti nel mix (inglese, francese) restano oggi quote minori e non giustificano, allo stato attuale dei dati, l'apertura di landing dedicate: vanno monitorati nel cruscotto (sez. 06) e riconsiderati solo se la quota cresce o se emerge un segnale di domanda coerente.</w:t>
      </w:r>
    </w:p>
    <w:p>
      <w:pPr>
        <w:pStyle w:val="ListBullet"/>
      </w:pPr>
      <w:r>
        <w:t>L'assenza di qualunque dato su parity tra motore diretto e portali sui comparatori di prezzo è un rischio concreto per il segmento coppia, il più spontaneo e sensibile al confronto prezzo in fase di valutazione (v. operating model, journey coppia): se il diretto risultasse più caro dell'OTA sugli stessi canali di comparazione, ogni investimento promozionale sul sito sarebbe vanificato in partenza. L'azione prioritaria, a costo pressoché nullo, è una verifica puntuale della parity prima di qualsiasi scaling di spesa sul canale diretto.</w:t>
      </w:r>
    </w:p>
    <w:p>
      <w:pPr>
        <w:pStyle w:val="ListBullet"/>
      </w:pPr>
      <w:r>
        <w:t>La governance dei portali non si esaurisce nella scheda: la risposta tempestiva alle recensioni e la coerenza delle informazioni su servizi e orari tra sito, scheda portale e profilo attività (v. sez. 06) sostengono sia il ranking interno dell'OTA sia, in prospettiva, la leggibilità della struttura per gli assistenti di ricerca conversazionale (v. sez. 03).</w:t>
      </w:r>
    </w:p>
    <w:p>
      <w:pPr>
        <w:spacing w:before="160" w:after="40"/>
      </w:pPr>
      <w:r>
        <w:rPr>
          <w:b/>
          <w:color w:val="2F5D62"/>
          <w:sz w:val="24"/>
        </w:rPr>
        <w:t>KPI</w:t>
      </w:r>
    </w:p>
    <w:p>
      <w:r>
        <w:t>Il set di KPI quantitativi che governa distribuzione e mercati (quota diretta, performance del pilota tedesco, esito della verifica parity) è consolidato nel cruscotto di sez. 06, per evitare duplicazioni e numeri disallineati tra sezioni.</w:t>
      </w:r>
    </w:p>
    <w:p>
      <w:pPr>
        <w:spacing w:before="160" w:after="40"/>
      </w:pPr>
      <w:r>
        <w:rPr>
          <w:b/>
          <w:color w:val="2F5D62"/>
          <w:sz w:val="24"/>
        </w:rPr>
        <w:t>Note esecutive</w:t>
      </w:r>
    </w:p>
    <w:p>
      <w:pPr>
        <w:pStyle w:val="ListBullet"/>
      </w:pPr>
      <w:r>
        <w:t>Nessun intervento su listini o condizioni tariffarie rientra in questo piano: la verifica di parity riguarda esclusivamente la coerenza del prezzo esposto tra canale diretto e comparatori, non la sua definizione, che resta di competenza della struttura.</w:t>
      </w:r>
    </w:p>
    <w:p>
      <w:pPr>
        <w:pStyle w:val="ListBullet"/>
      </w:pPr>
      <w:r>
        <w:t>Il pilota tedesco va trattato come test a budget contenuto e tempistica definita, non come apertura stabile di canale: la decisione di proseguire dipende dall'esito, da misurare nel cruscotto di sez. 06.</w:t>
      </w:r>
    </w:p>
    <w:p>
      <w:pPr>
        <w:pStyle w:val="ListBullet"/>
      </w:pPr>
      <w:r>
        <w:t>La qualità della scheda portale (foto, categorie, testi) è un intervento a basso costo e alta leva immediata: va sequenziato prima del pilota sui mercati esteri, non in parallelo, per non disperdere priorità nella fase di cantiere invernale (v. sez. 05).</w:t>
      </w:r>
    </w:p>
    <w:p>
      <w:r>
        <w:br w:type="page"/>
      </w:r>
    </w:p>
    <w:p>
      <w:pPr>
        <w:spacing w:after="0"/>
      </w:pPr>
      <w:r>
        <w:rPr>
          <w:b/>
          <w:color w:val="2F5D62"/>
          <w:sz w:val="18"/>
        </w:rPr>
        <w:t>SEZIONE 05</w:t>
      </w:r>
    </w:p>
    <w:p>
      <w:pPr>
        <w:spacing w:after="200"/>
        <w:pBdr>
          <w:bottom w:val="single" w:sz="18" w:space="6" w:color="2F5D62"/>
        </w:pBdr>
      </w:pPr>
      <w:r>
        <w:rPr>
          <w:b/>
          <w:color w:val="1A1A2E"/>
          <w:sz w:val="40"/>
        </w:rPr>
        <w:t>Roadmap 12 mesi</w:t>
      </w:r>
    </w:p>
    <w:p>
      <w:pPr>
        <w:spacing w:before="160" w:after="40"/>
      </w:pPr>
      <w:r>
        <w:rPr>
          <w:b/>
          <w:color w:val="2F5D62"/>
          <w:sz w:val="24"/>
        </w:rPr>
        <w:t>Vincoli operativi della roadmap (decision record)</w:t>
      </w:r>
    </w:p>
    <w:p>
      <w:r>
        <w:t>Archetipo operativo: stagionale puro (~mag-set). Mesi di apertura: mag, giu, lug, ago, set (assunti, da confermare col cliente).</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Vincolo</w:t>
            </w:r>
          </w:p>
        </w:tc>
        <w:tc>
          <w:tcPr>
            <w:tcW w:type="dxa" w:w="2880"/>
            <w:shd w:val="clear" w:color="auto" w:fill="2F5D62"/>
          </w:tcPr>
          <w:p>
            <w:r>
              <w:rPr>
                <w:b/>
                <w:color w:val="FFFFFF"/>
                <w:sz w:val="19"/>
              </w:rPr>
              <w:t>Quando</w:t>
            </w:r>
          </w:p>
        </w:tc>
        <w:tc>
          <w:tcPr>
            <w:tcW w:type="dxa" w:w="2880"/>
            <w:shd w:val="clear" w:color="auto" w:fill="2F5D62"/>
          </w:tcPr>
          <w:p>
            <w:r>
              <w:rPr>
                <w:b/>
                <w:color w:val="FFFFFF"/>
                <w:sz w:val="19"/>
              </w:rPr>
              <w:t>Perché</w:t>
            </w:r>
          </w:p>
        </w:tc>
      </w:tr>
      <w:tr>
        <w:tc>
          <w:tcPr>
            <w:tcW w:type="dxa" w:w="2880"/>
          </w:tcPr>
          <w:p>
            <w:r>
              <w:rPr>
                <w:sz w:val="19"/>
              </w:rPr>
              <w:t>Chiusura listino/pacchetti</w:t>
            </w:r>
          </w:p>
        </w:tc>
        <w:tc>
          <w:tcPr>
            <w:tcW w:type="dxa" w:w="2880"/>
          </w:tcPr>
          <w:p>
            <w:r>
              <w:rPr>
                <w:sz w:val="19"/>
              </w:rPr>
              <w:t>gen</w:t>
            </w:r>
          </w:p>
        </w:tc>
        <w:tc>
          <w:tcPr>
            <w:tcW w:type="dxa" w:w="2880"/>
          </w:tcPr>
          <w:p>
            <w:r>
              <w:rPr>
                <w:sz w:val="19"/>
              </w:rPr>
              <w:t>vendite prenotabili prima dell'apertura delle finestre di mercato</w:t>
            </w:r>
          </w:p>
        </w:tc>
      </w:tr>
      <w:tr>
        <w:tc>
          <w:tcPr>
            <w:tcW w:type="dxa" w:w="2880"/>
            <w:shd w:val="clear" w:color="auto" w:fill="EEF2F1"/>
          </w:tcPr>
          <w:p>
            <w:r>
              <w:rPr>
                <w:sz w:val="19"/>
              </w:rPr>
              <w:t>Apertura vendite per mercato</w:t>
            </w:r>
          </w:p>
        </w:tc>
        <w:tc>
          <w:tcPr>
            <w:tcW w:type="dxa" w:w="2880"/>
            <w:shd w:val="clear" w:color="auto" w:fill="EEF2F1"/>
          </w:tcPr>
          <w:p>
            <w:r>
              <w:rPr>
                <w:sz w:val="19"/>
              </w:rPr>
              <w:t>IT_estate gen</w:t>
            </w:r>
          </w:p>
        </w:tc>
        <w:tc>
          <w:tcPr>
            <w:tcW w:type="dxa" w:w="2880"/>
            <w:shd w:val="clear" w:color="auto" w:fill="EEF2F1"/>
          </w:tcPr>
          <w:p>
            <w:r>
              <w:rPr>
                <w:sz w:val="19"/>
              </w:rPr>
              <w:t>anticipo derivato dalle finestre di prenotazione</w:t>
            </w:r>
          </w:p>
        </w:tc>
      </w:tr>
      <w:tr>
        <w:tc>
          <w:tcPr>
            <w:tcW w:type="dxa" w:w="2880"/>
          </w:tcPr>
          <w:p>
            <w:r>
              <w:rPr>
                <w:sz w:val="19"/>
              </w:rPr>
              <w:t>Cantiere (setup tecnico/contenuti)</w:t>
            </w:r>
          </w:p>
        </w:tc>
        <w:tc>
          <w:tcPr>
            <w:tcW w:type="dxa" w:w="2880"/>
          </w:tcPr>
          <w:p>
            <w:r>
              <w:rPr>
                <w:sz w:val="19"/>
              </w:rPr>
              <w:t>gen, feb, mar, apr, ott, nov, dic</w:t>
            </w:r>
          </w:p>
        </w:tc>
        <w:tc>
          <w:tcPr>
            <w:tcW w:type="dxa" w:w="2880"/>
          </w:tcPr>
          <w:p>
            <w:r>
              <w:rPr>
                <w:sz w:val="19"/>
              </w:rPr>
              <w:t>mai in stagione: sta nei mesi di chiusura</w:t>
            </w:r>
          </w:p>
        </w:tc>
      </w:tr>
      <w:tr>
        <w:tc>
          <w:tcPr>
            <w:tcW w:type="dxa" w:w="2880"/>
            <w:shd w:val="clear" w:color="auto" w:fill="EEF2F1"/>
          </w:tcPr>
          <w:p>
            <w:r>
              <w:rPr>
                <w:sz w:val="19"/>
              </w:rPr>
              <w:t>Raccolta foto/video</w:t>
            </w:r>
          </w:p>
        </w:tc>
        <w:tc>
          <w:tcPr>
            <w:tcW w:type="dxa" w:w="2880"/>
            <w:shd w:val="clear" w:color="auto" w:fill="EEF2F1"/>
          </w:tcPr>
          <w:p>
            <w:r>
              <w:rPr>
                <w:sz w:val="19"/>
              </w:rPr>
              <w:t>mag, giu, lug, ago, set</w:t>
            </w:r>
          </w:p>
        </w:tc>
        <w:tc>
          <w:tcPr>
            <w:tcW w:type="dxa" w:w="2880"/>
            <w:shd w:val="clear" w:color="auto" w:fill="EEF2F1"/>
          </w:tcPr>
          <w:p>
            <w:r>
              <w:rPr>
                <w:sz w:val="19"/>
              </w:rPr>
              <w:t>a hotel aperto: l'hotel chiuso non si fotografa</w:t>
            </w:r>
          </w:p>
        </w:tc>
      </w:tr>
      <w:tr>
        <w:tc>
          <w:tcPr>
            <w:tcW w:type="dxa" w:w="2880"/>
          </w:tcPr>
          <w:p>
            <w:r>
              <w:rPr>
                <w:sz w:val="19"/>
              </w:rPr>
              <w:t>Fiere in stagione (gate business)</w:t>
            </w:r>
          </w:p>
        </w:tc>
        <w:tc>
          <w:tcPr>
            <w:tcW w:type="dxa" w:w="2880"/>
          </w:tcPr>
          <w:p>
            <w:r>
              <w:rPr>
                <w:sz w:val="19"/>
              </w:rPr>
              <w:t>RiminiWellness, World Ducati Week, Meeting di Rimini, Tecna</w:t>
            </w:r>
          </w:p>
        </w:tc>
        <w:tc>
          <w:tcPr>
            <w:tcW w:type="dxa" w:w="2880"/>
          </w:tcPr>
          <w:p>
            <w:r>
              <w:rPr>
                <w:sz w:val="19"/>
              </w:rPr>
              <w:t>eccezioni presidiabili: la domanda fiere fuori apertura resta 'non ora'</w:t>
            </w:r>
          </w:p>
        </w:tc>
      </w:tr>
      <w:tr>
        <w:tc>
          <w:tcPr>
            <w:tcW w:type="dxa" w:w="2880"/>
            <w:shd w:val="clear" w:color="auto" w:fill="EEF2F1"/>
          </w:tcPr>
          <w:p>
            <w:r>
              <w:rPr>
                <w:sz w:val="19"/>
              </w:rPr>
              <w:t>Picchi evento di destinazione</w:t>
            </w:r>
          </w:p>
        </w:tc>
        <w:tc>
          <w:tcPr>
            <w:tcW w:type="dxa" w:w="2880"/>
            <w:shd w:val="clear" w:color="auto" w:fill="EEF2F1"/>
          </w:tcPr>
          <w:p>
            <w:r>
              <w:rPr>
                <w:sz w:val="19"/>
              </w:rPr>
              <w:t>Notte Rosa (2026-06-19)</w:t>
            </w:r>
          </w:p>
        </w:tc>
        <w:tc>
          <w:tcPr>
            <w:tcW w:type="dxa" w:w="2880"/>
            <w:shd w:val="clear" w:color="auto" w:fill="EEF2F1"/>
          </w:tcPr>
          <w:p>
            <w:r>
              <w:rPr>
                <w:sz w:val="19"/>
              </w:rPr>
              <w:t>picchi di domanda weekend da nominare nella roadmap</w:t>
            </w:r>
          </w:p>
        </w:tc>
      </w:tr>
    </w:tbl>
    <w:p>
      <w:pPr>
        <w:spacing w:after="160"/>
      </w:pPr>
    </w:p>
    <w:p>
      <w:pPr>
        <w:spacing w:before="160" w:after="40"/>
      </w:pPr>
      <w:r>
        <w:rPr>
          <w:b/>
          <w:color w:val="2F5D62"/>
          <w:sz w:val="24"/>
        </w:rPr>
        <w:t>Finestre di campagna per segmento (ancorate al picco reale)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Avvio campagna</w:t>
            </w:r>
          </w:p>
        </w:tc>
        <w:tc>
          <w:tcPr>
            <w:tcW w:type="dxa" w:w="2160"/>
            <w:shd w:val="clear" w:color="auto" w:fill="2F5D62"/>
          </w:tcPr>
          <w:p>
            <w:r>
              <w:rPr>
                <w:b/>
                <w:color w:val="FFFFFF"/>
                <w:sz w:val="19"/>
              </w:rPr>
              <w:t>Mese di picco</w:t>
            </w:r>
          </w:p>
        </w:tc>
        <w:tc>
          <w:tcPr>
            <w:tcW w:type="dxa" w:w="2160"/>
            <w:shd w:val="clear" w:color="auto" w:fill="2F5D62"/>
          </w:tcPr>
          <w:p>
            <w:r>
              <w:rPr>
                <w:b/>
                <w:color w:val="FFFFFF"/>
                <w:sz w:val="19"/>
              </w:rPr>
              <w:t>Anticipo (mesi)</w:t>
            </w:r>
          </w:p>
        </w:tc>
      </w:tr>
      <w:tr>
        <w:tc>
          <w:tcPr>
            <w:tcW w:type="dxa" w:w="2160"/>
          </w:tcPr>
          <w:p>
            <w:r>
              <w:rPr>
                <w:sz w:val="19"/>
              </w:rPr>
              <w:t>Famiglie</w:t>
            </w:r>
          </w:p>
        </w:tc>
        <w:tc>
          <w:tcPr>
            <w:tcW w:type="dxa" w:w="2160"/>
          </w:tcPr>
          <w:p>
            <w:r>
              <w:rPr>
                <w:sz w:val="19"/>
              </w:rPr>
              <w:t>mar</w:t>
            </w:r>
          </w:p>
        </w:tc>
        <w:tc>
          <w:tcPr>
            <w:tcW w:type="dxa" w:w="2160"/>
          </w:tcPr>
          <w:p>
            <w:r>
              <w:rPr>
                <w:sz w:val="19"/>
              </w:rPr>
              <w:t>giu</w:t>
            </w:r>
          </w:p>
        </w:tc>
        <w:tc>
          <w:tcPr>
            <w:tcW w:type="dxa" w:w="2160"/>
          </w:tcPr>
          <w:p>
            <w:r>
              <w:rPr>
                <w:sz w:val="19"/>
              </w:rPr>
              <w:t>3</w:t>
            </w:r>
          </w:p>
        </w:tc>
      </w:tr>
      <w:tr>
        <w:tc>
          <w:tcPr>
            <w:tcW w:type="dxa" w:w="2160"/>
            <w:shd w:val="clear" w:color="auto" w:fill="EEF2F1"/>
          </w:tcPr>
          <w:p>
            <w:r>
              <w:rPr>
                <w:sz w:val="19"/>
              </w:rPr>
              <w:t>Coppie</w:t>
            </w:r>
          </w:p>
        </w:tc>
        <w:tc>
          <w:tcPr>
            <w:tcW w:type="dxa" w:w="2160"/>
            <w:shd w:val="clear" w:color="auto" w:fill="EEF2F1"/>
          </w:tcPr>
          <w:p>
            <w:r>
              <w:rPr>
                <w:sz w:val="19"/>
              </w:rPr>
              <w:t>apr</w:t>
            </w:r>
          </w:p>
        </w:tc>
        <w:tc>
          <w:tcPr>
            <w:tcW w:type="dxa" w:w="2160"/>
            <w:shd w:val="clear" w:color="auto" w:fill="EEF2F1"/>
          </w:tcPr>
          <w:p>
            <w:r>
              <w:rPr>
                <w:sz w:val="19"/>
              </w:rPr>
              <w:t>giu</w:t>
            </w:r>
          </w:p>
        </w:tc>
        <w:tc>
          <w:tcPr>
            <w:tcW w:type="dxa" w:w="2160"/>
            <w:shd w:val="clear" w:color="auto" w:fill="EEF2F1"/>
          </w:tcPr>
          <w:p>
            <w:r>
              <w:rPr>
                <w:sz w:val="19"/>
              </w:rPr>
              <w:t>2</w:t>
            </w:r>
          </w:p>
        </w:tc>
      </w:tr>
      <w:tr>
        <w:tc>
          <w:tcPr>
            <w:tcW w:type="dxa" w:w="2160"/>
          </w:tcPr>
          <w:p>
            <w:r>
              <w:rPr>
                <w:sz w:val="19"/>
              </w:rPr>
              <w:t>DACH</w:t>
            </w:r>
          </w:p>
        </w:tc>
        <w:tc>
          <w:tcPr>
            <w:tcW w:type="dxa" w:w="2160"/>
          </w:tcPr>
          <w:p>
            <w:r>
              <w:rPr>
                <w:sz w:val="19"/>
              </w:rPr>
              <w:t>mar</w:t>
            </w:r>
          </w:p>
        </w:tc>
        <w:tc>
          <w:tcPr>
            <w:tcW w:type="dxa" w:w="2160"/>
          </w:tcPr>
          <w:p>
            <w:r>
              <w:rPr>
                <w:sz w:val="19"/>
              </w:rPr>
              <w:t>giu</w:t>
            </w:r>
          </w:p>
        </w:tc>
        <w:tc>
          <w:tcPr>
            <w:tcW w:type="dxa" w:w="2160"/>
          </w:tcPr>
          <w:p>
            <w:r>
              <w:rPr>
                <w:sz w:val="19"/>
              </w:rPr>
              <w:t>3</w:t>
            </w:r>
          </w:p>
        </w:tc>
      </w:tr>
    </w:tbl>
    <w:p>
      <w:pPr>
        <w:spacing w:after="160"/>
      </w:pPr>
    </w:p>
    <w:p>
      <w:r>
        <w:t>Il Royal Boutique Hotel è una struttura stagionale che storicamente apre ad aprile e chiude a ottobre, con piscina riscaldata attiva fin dall'apertura: è il pattern 'stagionale esteso' tipico del balneare family romagnolo (periodo assunto dai dati disponibili, non dichiarato esplicitamente dal cliente — da confermare). Questo vincolo governa l'intera roadmap: il cantiere tecnico e contenutistico (SEO, sito, struttura delle pagine, raccolta recensioni/reputazione, impostazione CRM) va chiuso nei mesi di chiusura, mai durante l'apertura; la raccolta di materiale fotografico e testimoniale va fatta invece a struttura aperta, perché un hotel chiuso non si fotografa. Il listino e i pacchetti vanno pronti PRIMA che la domanda dei mercati esteri si apra, non all'avvio della stagione: chi si presenta a vendere quando il cliente ha già scelto è invisibile nel momento che conta.</w:t>
      </w:r>
    </w:p>
    <w:p>
      <w:pPr>
        <w:spacing w:before="160" w:after="40"/>
      </w:pPr>
      <w:r>
        <w:rPr>
          <w:b/>
          <w:color w:val="2F5D62"/>
          <w:sz w:val="24"/>
        </w:rPr>
        <w:t>Obiettivi misurabili</w:t>
      </w:r>
    </w:p>
    <w:p>
      <w:pPr>
        <w:pStyle w:val="ListBullet"/>
      </w:pPr>
      <w:r>
        <w:t>Completare entro la chiusura stagionale corrente il cantiere tecnico (contenuti SEO, dati strutturati mancanti, pagine deboli) in modo che il sito sia pronto prima della riapertura — obiettivo di processo, v. sez. 06 per i KPI</w:t>
      </w:r>
    </w:p>
    <w:p>
      <w:pPr>
        <w:pStyle w:val="ListBullet"/>
      </w:pPr>
      <w:r>
        <w:t>Pubblicare il calendario di apertura e le prime comunicazioni ai clienti abituali con anticipo sufficiente a coprire i lead time dei mercati esteri — obiettivo di processo</w:t>
      </w:r>
    </w:p>
    <w:p>
      <w:pPr>
        <w:pStyle w:val="ListBullet"/>
      </w:pPr>
      <w:r>
        <w:t>Completare la raccolta di materiale fotografico/testimoniale (famiglia, coppia, area wellness) durante la finestra di apertura, da riutilizzare nel cantiere invernale successivo</w:t>
      </w:r>
    </w:p>
    <w:p>
      <w:pPr>
        <w:spacing w:before="160" w:after="40"/>
      </w:pPr>
      <w:r>
        <w:rPr>
          <w:b/>
          <w:color w:val="2F5D62"/>
          <w:sz w:val="24"/>
        </w:rPr>
        <w:t>Azioni</w:t>
      </w:r>
    </w:p>
    <w:p>
      <w:r>
        <w:t>Il cantiere invernale (chiusura) è la finestra in cui si recupera il gap organico già diagnosticato e si prepara tutto ciò che in stagione non si può più toccare: in questi mesi vanno completati i dati strutturati mancanti (FAQ, breadcrumb, localbusiness, review), riscritte le pagine deboli segnalate (Outdoor SPA e la pagina Oltremare) e pubblicati i contenuti sui temi di domanda già individuati (piscina, spa, all inclusive). Nello stesso periodo va impostato — non rimandato a ridosso dell'apertura — il flusso di raccolta contatti post-soggiorno, perché il mix di clientela reale premia la ripetizione e il lavoro di configurazione (form, automazione email) richiede tempo che in stagione non c'è.</w:t>
      </w:r>
    </w:p>
    <w:p>
      <w:r>
        <w:t>La comunicazione ai clienti abituali e l'apertura vendite per i mercati esteri vanno sequenziate secondo i lead time propri di ciascun mercato: il cliente italiano decide con mesi di anticipo ma mantiene una coda last-minute vicino alle date, mentre il mercato tedesco — oggi marginale nel mix ma coerente con il prodotto wellness — sceglie l'Italia già in primavera inoltrata e tende a evitare il cuore di agosto, quindi va intercettato con largo anticipo rispetto all'apertura. La newsletter di riapertura, con data ben visibile sul sito e un'offerta dedicata a chi prenota in anticipo, deve quindi uscire prima che si apra la domanda dei segmenti target, non in coincidenza con essa: aspettare la riapertura effettiva per comunicarla significa perdere il cliente che, non sapendo se la struttura sarà aperta, prenota altrove.</w:t>
      </w:r>
    </w:p>
    <w:p>
      <w:r>
        <w:t>All'apertura della struttura l'attenzione commerciale si sposta sulla gestione del quotidiano (risposte alle recensioni, contenuti 'dal campo', tariffe vicine alla data) ma resta aperta la finestra per raccogliere il materiale fotografico e le testimonianze dirette dei segmenti famiglia e coppia, risorsa che alimenterà il cantiere di contenuti della chiusura successiva. In stagione va inoltre monitorata la coda di prenotazioni ravvicinate, parallela — non sostitutiva — del lavoro di anticipo fatto in chiusura: la domanda alta si gioca su due finestre, non una sola.</w:t>
      </w:r>
    </w:p>
    <w:p>
      <w:pPr>
        <w:spacing w:before="160" w:after="40"/>
      </w:pPr>
      <w:r>
        <w:rPr>
          <w:b/>
          <w:color w:val="2F5D62"/>
          <w:sz w:val="24"/>
        </w:rPr>
        <w:t>KPI</w:t>
      </w:r>
    </w:p>
    <w:p>
      <w:r>
        <w:t>Il cruscotto di controllo della roadmap (traguardi, cadenza di misurazione, owner) è definito in sez. 06; qui si richiama solo la sequenza temporale delle milestone.</w:t>
      </w:r>
    </w:p>
    <w:p>
      <w:pPr>
        <w:spacing w:before="160" w:after="40"/>
      </w:pPr>
      <w:r>
        <w:rPr>
          <w:b/>
          <w:color w:val="2F5D62"/>
          <w:sz w:val="24"/>
        </w:rPr>
        <w:t>Note esecutive</w:t>
      </w:r>
    </w:p>
    <w:p>
      <w:pPr>
        <w:pStyle w:val="ListBullet"/>
      </w:pPr>
      <w:r>
        <w:t>Il periodo di apertura aprile-ottobre è un'assunzione basata sui dati disponibili (stagionalità dichiarata e piscina riscaldata attiva da aprile): va confermato con il cliente e aggiornato nella roadmap se difforme</w:t>
      </w:r>
    </w:p>
    <w:p>
      <w:pPr>
        <w:pStyle w:val="ListBullet"/>
      </w:pPr>
      <w:r>
        <w:t>Nessuna attività di cantiere tecnico o contenutistico va programmata nei mesi di piena apertura: in quella finestra la priorità operativa della struttura assorbe la capacità del team</w:t>
      </w:r>
    </w:p>
    <w:p>
      <w:pPr>
        <w:pStyle w:val="ListBullet"/>
      </w:pPr>
      <w:r>
        <w:t>Il calendario fieristico (Tecnocasa, Rimini Wellness, corsi medici) ricade in larga parte fuori dalla finestra di apertura stagionale: per una struttura stagionale questo rende il canale business 'non ora' per gran parte dell'anno, salvo le date che eventualmente cadono in stagione — da verificare evento per evento prima di dedicarvi budget</w:t>
      </w:r>
    </w:p>
    <w:p>
      <w:pPr>
        <w:pStyle w:val="ListBullet"/>
      </w:pPr>
      <w:r>
        <w:t>La sequenza listino-prima-della-domanda e le comunicazioni ai mercati esteri vanno validate con i lead time reali rilevabili dal gestionale della struttura, non con medie di settore</w:t>
      </w:r>
    </w:p>
    <w:p>
      <w:r>
        <w:br w:type="page"/>
      </w:r>
    </w:p>
    <w:p>
      <w:pPr>
        <w:spacing w:after="0"/>
      </w:pPr>
      <w:r>
        <w:rPr>
          <w:b/>
          <w:color w:val="2F5D62"/>
          <w:sz w:val="18"/>
        </w:rPr>
        <w:t>SEZIONE 06</w:t>
      </w:r>
    </w:p>
    <w:p>
      <w:pPr>
        <w:spacing w:after="200"/>
        <w:pBdr>
          <w:bottom w:val="single" w:sz="18" w:space="6" w:color="2F5D62"/>
        </w:pBdr>
      </w:pPr>
      <w:r>
        <w:rPr>
          <w:b/>
          <w:color w:val="1A1A2E"/>
          <w:sz w:val="40"/>
        </w:rPr>
        <w:t>Misurazione &amp; governance</w:t>
      </w:r>
    </w:p>
    <w:p>
      <w:pPr>
        <w:spacing w:before="160" w:after="40"/>
      </w:pPr>
      <w:r>
        <w:rPr>
          <w:b/>
          <w:color w:val="2F5D62"/>
          <w:sz w:val="24"/>
        </w:rPr>
        <w:t>KPI nord (baseline → target o obiettivo di processo)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Obiettivo di processo</w:t>
            </w:r>
          </w:p>
        </w:tc>
      </w:tr>
      <w:tr>
        <w:tc>
          <w:tcPr>
            <w:tcW w:type="dxa" w:w="2160"/>
          </w:tcPr>
          <w:p>
            <w:r>
              <w:rPr>
                <w:sz w:val="19"/>
              </w:rPr>
              <w:t>Volume recensioni (tutte le piattaforme)</w:t>
            </w:r>
          </w:p>
        </w:tc>
        <w:tc>
          <w:tcPr>
            <w:tcW w:type="dxa" w:w="2160"/>
          </w:tcPr>
          <w:p>
            <w:r>
              <w:rPr>
                <w:sz w:val="19"/>
              </w:rPr>
              <w:t>100</w:t>
            </w:r>
          </w:p>
        </w:tc>
        <w:tc>
          <w:tcPr>
            <w:tcW w:type="dxa" w:w="2160"/>
          </w:tcPr>
          <w:p>
            <w:r>
              <w:rPr>
                <w:sz w:val="19"/>
              </w:rPr>
              <w:t>247</w:t>
            </w:r>
          </w:p>
        </w:tc>
        <w:tc>
          <w:tcPr>
            <w:tcW w:type="dxa" w:w="2160"/>
          </w:tcPr>
          <w:p>
            <w:r>
              <w:rPr>
                <w:sz w:val="19"/>
              </w:rPr>
              <w:t>—</w:t>
            </w:r>
          </w:p>
        </w:tc>
      </w:tr>
      <w:tr>
        <w:tc>
          <w:tcPr>
            <w:tcW w:type="dxa" w:w="2160"/>
            <w:shd w:val="clear" w:color="auto" w:fill="EEF2F1"/>
          </w:tcPr>
          <w:p>
            <w:r>
              <w:rPr>
                <w:sz w:val="19"/>
              </w:rPr>
              <w:t>Quota di prenotazione diretta</w:t>
            </w:r>
          </w:p>
        </w:tc>
        <w:tc>
          <w:tcPr>
            <w:tcW w:type="dxa" w:w="2160"/>
            <w:shd w:val="clear" w:color="auto" w:fill="EEF2F1"/>
          </w:tcPr>
          <w:p>
            <w:r>
              <w:rPr>
                <w:sz w:val="19"/>
              </w:rPr>
              <w:t>—</w:t>
            </w:r>
          </w:p>
        </w:tc>
        <w:tc>
          <w:tcPr>
            <w:tcW w:type="dxa" w:w="2160"/>
            <w:shd w:val="clear" w:color="auto" w:fill="EEF2F1"/>
          </w:tcPr>
          <w:p>
            <w:r>
              <w:rPr>
                <w:sz w:val="19"/>
              </w:rPr>
              <w:t>—</w:t>
            </w:r>
          </w:p>
        </w:tc>
        <w:tc>
          <w:tcPr>
            <w:tcW w:type="dxa" w:w="2160"/>
            <w:shd w:val="clear" w:color="auto" w:fill="EEF2F1"/>
          </w:tcPr>
          <w:p>
            <w:r>
              <w:rPr>
                <w:sz w:val="19"/>
              </w:rPr>
              <w:t>Quota diretta reale non tracciata nella diagnosi: misurare la baseline (booking engine/PMS) prima di fissare un obiettivo numerico.</w:t>
            </w:r>
          </w:p>
        </w:tc>
      </w:tr>
      <w:tr>
        <w:tc>
          <w:tcPr>
            <w:tcW w:type="dxa" w:w="2160"/>
          </w:tcPr>
          <w:p>
            <w:r>
              <w:rPr>
                <w:sz w:val="19"/>
              </w:rPr>
              <w:t>Rating aggregato</w:t>
            </w:r>
          </w:p>
        </w:tc>
        <w:tc>
          <w:tcPr>
            <w:tcW w:type="dxa" w:w="2160"/>
          </w:tcPr>
          <w:p>
            <w:r>
              <w:rPr>
                <w:sz w:val="19"/>
              </w:rPr>
              <w:t>4.2</w:t>
            </w:r>
          </w:p>
        </w:tc>
        <w:tc>
          <w:tcPr>
            <w:tcW w:type="dxa" w:w="2160"/>
          </w:tcPr>
          <w:p>
            <w:r>
              <w:rPr>
                <w:sz w:val="19"/>
              </w:rPr>
              <w:t>—</w:t>
            </w:r>
          </w:p>
        </w:tc>
        <w:tc>
          <w:tcPr>
            <w:tcW w:type="dxa" w:w="2160"/>
          </w:tcPr>
          <w:p>
            <w:r>
              <w:rPr>
                <w:sz w:val="19"/>
              </w:rPr>
              <w:t>KPI di score lento (media cumulata su centinaia di recensioni): non calare sotto la baseline, orizzonti lunghi, nessun salto in 2-3 mesi.</w:t>
            </w:r>
          </w:p>
        </w:tc>
      </w:tr>
    </w:tbl>
    <w:p>
      <w:pPr>
        <w:spacing w:after="160"/>
      </w:pPr>
    </w:p>
    <w:p>
      <w:r>
        <w:t>Questo piano vive o muore sulla disciplina di misurazione, non sulle intenzioni: ogni azione definita nelle sezioni precedenti (presidio organico, canale AI, distribuzione, roadmap stagionale) deve avere un responsabile, una cadenza di controllo e un numero che dica se sta funzionando. La maggior parte delle baseline operative — quota diretta, CAC per canale, parity tariffaria, visibilità sugli assistenti AI — non è oggi disponibile: il compito di questa fase non è dichiarare un target su numeri che non esistono, ma costruire l'infrastruttura di tracciamento che li farà esistere entro la prossima stagione commerciale. Dove la baseline reputazionale esiste già (il punteggio aggregato 4,2/5), il piano fissa un orizzonte realistico coerente con la natura lenta di quel punteggio, non una promessa di salto in due o tre mesi.</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Orizzonte</w:t>
            </w:r>
          </w:p>
        </w:tc>
      </w:tr>
      <w:tr>
        <w:tc>
          <w:tcPr>
            <w:tcW w:type="dxa" w:w="2160"/>
          </w:tcPr>
          <w:p>
            <w:r>
              <w:rPr>
                <w:sz w:val="19"/>
              </w:rPr>
              <w:t>Rating aggregato (Google)</w:t>
            </w:r>
          </w:p>
        </w:tc>
        <w:tc>
          <w:tcPr>
            <w:tcW w:type="dxa" w:w="2160"/>
          </w:tcPr>
          <w:p>
            <w:r>
              <w:rPr>
                <w:sz w:val="19"/>
              </w:rPr>
              <w:t>4,2/5</w:t>
            </w:r>
          </w:p>
        </w:tc>
        <w:tc>
          <w:tcPr>
            <w:tcW w:type="dxa" w:w="2160"/>
          </w:tcPr>
          <w:p>
            <w:r>
              <w:rPr>
                <w:sz w:val="19"/>
              </w:rPr>
              <w:t>Mantenere e consolidare senza regressione sotto 4,2/5</w:t>
            </w:r>
          </w:p>
        </w:tc>
        <w:tc>
          <w:tcPr>
            <w:tcW w:type="dxa" w:w="2160"/>
          </w:tcPr>
          <w:p>
            <w:r>
              <w:rPr>
                <w:sz w:val="19"/>
              </w:rPr>
              <w:t>12 mesi (chiusura stagione 2027)</w:t>
            </w:r>
          </w:p>
        </w:tc>
      </w:tr>
      <w:tr>
        <w:tc>
          <w:tcPr>
            <w:tcW w:type="dxa" w:w="2160"/>
            <w:shd w:val="clear" w:color="auto" w:fill="EEF2F1"/>
          </w:tcPr>
          <w:p>
            <w:r>
              <w:rPr>
                <w:sz w:val="19"/>
              </w:rPr>
              <w:t>Keyword in top 10 sul nucleo prioritario di destinazione</w:t>
            </w:r>
          </w:p>
        </w:tc>
        <w:tc>
          <w:tcPr>
            <w:tcW w:type="dxa" w:w="2160"/>
            <w:shd w:val="clear" w:color="auto" w:fill="EEF2F1"/>
          </w:tcPr>
          <w:p>
            <w:r>
              <w:rPr>
                <w:sz w:val="19"/>
              </w:rPr>
              <w:t>0 presidiate su 22 in gap</w:t>
            </w:r>
          </w:p>
        </w:tc>
        <w:tc>
          <w:tcPr>
            <w:tcW w:type="dxa" w:w="2160"/>
            <w:shd w:val="clear" w:color="auto" w:fill="EEF2F1"/>
          </w:tcPr>
          <w:p>
            <w:r>
              <w:rPr>
                <w:sz w:val="19"/>
              </w:rPr>
              <w:t>Obiettivo di processo: presidiare un primo nucleo entro la chiusura stagionale corrente (v. sez. 03)</w:t>
            </w:r>
          </w:p>
        </w:tc>
        <w:tc>
          <w:tcPr>
            <w:tcW w:type="dxa" w:w="2160"/>
            <w:shd w:val="clear" w:color="auto" w:fill="EEF2F1"/>
          </w:tcPr>
          <w:p>
            <w:r>
              <w:rPr>
                <w:sz w:val="19"/>
              </w:rPr>
              <w:t>Chiusura stagionale corrente</w:t>
            </w:r>
          </w:p>
        </w:tc>
      </w:tr>
      <w:tr>
        <w:tc>
          <w:tcPr>
            <w:tcW w:type="dxa" w:w="2160"/>
          </w:tcPr>
          <w:p>
            <w:r>
              <w:rPr>
                <w:sz w:val="19"/>
              </w:rPr>
              <w:t>Visibilità su assistenti AI (citazione nelle risposte sui 3 segmenti)</w:t>
            </w:r>
          </w:p>
        </w:tc>
        <w:tc>
          <w:tcPr>
            <w:tcW w:type="dxa" w:w="2160"/>
          </w:tcPr>
          <w:p>
            <w:r>
              <w:rPr>
                <w:sz w:val="19"/>
              </w:rPr>
              <w:t>Assente su OpenAI (3/3 query); Gemini e Perplexity non misurati</w:t>
            </w:r>
          </w:p>
        </w:tc>
        <w:tc>
          <w:tcPr>
            <w:tcW w:type="dxa" w:w="2160"/>
          </w:tcPr>
          <w:p>
            <w:r>
              <w:rPr>
                <w:sz w:val="19"/>
              </w:rPr>
              <w:t>Obiettivo di processo: completare l'audit su tutti gli assistenti e impostare il monitoraggio ricorrente</w:t>
            </w:r>
          </w:p>
        </w:tc>
        <w:tc>
          <w:tcPr>
            <w:tcW w:type="dxa" w:w="2160"/>
          </w:tcPr>
          <w:p>
            <w:r>
              <w:rPr>
                <w:sz w:val="19"/>
              </w:rPr>
              <w:t>Prima della prossima stagione commerciale</w:t>
            </w:r>
          </w:p>
        </w:tc>
      </w:tr>
      <w:tr>
        <w:tc>
          <w:tcPr>
            <w:tcW w:type="dxa" w:w="2160"/>
            <w:shd w:val="clear" w:color="auto" w:fill="EEF2F1"/>
          </w:tcPr>
          <w:p>
            <w:r>
              <w:rPr>
                <w:sz w:val="19"/>
              </w:rPr>
              <w:t>Quota diretta sul totale prenotazioni</w:t>
            </w:r>
          </w:p>
        </w:tc>
        <w:tc>
          <w:tcPr>
            <w:tcW w:type="dxa" w:w="2160"/>
            <w:shd w:val="clear" w:color="auto" w:fill="EEF2F1"/>
          </w:tcPr>
          <w:p>
            <w:r>
              <w:rPr>
                <w:sz w:val="19"/>
              </w:rPr>
              <w:t>Non disponibile (input mancante)</w:t>
            </w:r>
          </w:p>
        </w:tc>
        <w:tc>
          <w:tcPr>
            <w:tcW w:type="dxa" w:w="2160"/>
            <w:shd w:val="clear" w:color="auto" w:fill="EEF2F1"/>
          </w:tcPr>
          <w:p>
            <w:r>
              <w:rPr>
                <w:sz w:val="19"/>
              </w:rPr>
              <w:t>Obiettivo di processo: impostare il tracciamento per avere una prima baseline</w:t>
            </w:r>
          </w:p>
        </w:tc>
        <w:tc>
          <w:tcPr>
            <w:tcW w:type="dxa" w:w="2160"/>
            <w:shd w:val="clear" w:color="auto" w:fill="EEF2F1"/>
          </w:tcPr>
          <w:p>
            <w:r>
              <w:rPr>
                <w:sz w:val="19"/>
              </w:rPr>
              <w:t>Entro l'apertura della prossima stagione</w:t>
            </w:r>
          </w:p>
        </w:tc>
      </w:tr>
      <w:tr>
        <w:tc>
          <w:tcPr>
            <w:tcW w:type="dxa" w:w="2160"/>
          </w:tcPr>
          <w:p>
            <w:r>
              <w:rPr>
                <w:sz w:val="19"/>
              </w:rPr>
              <w:t>Parity tariffaria diretto vs OTA sui metasearch</w:t>
            </w:r>
          </w:p>
        </w:tc>
        <w:tc>
          <w:tcPr>
            <w:tcW w:type="dxa" w:w="2160"/>
          </w:tcPr>
          <w:p>
            <w:r>
              <w:rPr>
                <w:sz w:val="19"/>
              </w:rPr>
              <w:t>Non disponibile (input mancante)</w:t>
            </w:r>
          </w:p>
        </w:tc>
        <w:tc>
          <w:tcPr>
            <w:tcW w:type="dxa" w:w="2160"/>
          </w:tcPr>
          <w:p>
            <w:r>
              <w:rPr>
                <w:sz w:val="19"/>
              </w:rPr>
              <w:t>Obiettivo di processo: completare la verifica di parity (v. sez. 04)</w:t>
            </w:r>
          </w:p>
        </w:tc>
        <w:tc>
          <w:tcPr>
            <w:tcW w:type="dxa" w:w="2160"/>
          </w:tcPr>
          <w:p>
            <w:r>
              <w:rPr>
                <w:sz w:val="19"/>
              </w:rPr>
              <w:t>Prima di investire in campagne dirette</w:t>
            </w:r>
          </w:p>
        </w:tc>
      </w:tr>
      <w:tr>
        <w:tc>
          <w:tcPr>
            <w:tcW w:type="dxa" w:w="2160"/>
            <w:shd w:val="clear" w:color="auto" w:fill="EEF2F1"/>
          </w:tcPr>
          <w:p>
            <w:r>
              <w:rPr>
                <w:sz w:val="19"/>
              </w:rPr>
              <w:t>Contatti raccolti post-soggiorno (lista email/CRM)</w:t>
            </w:r>
          </w:p>
        </w:tc>
        <w:tc>
          <w:tcPr>
            <w:tcW w:type="dxa" w:w="2160"/>
            <w:shd w:val="clear" w:color="auto" w:fill="EEF2F1"/>
          </w:tcPr>
          <w:p>
            <w:r>
              <w:rPr>
                <w:sz w:val="19"/>
              </w:rPr>
              <w:t>Non disponibile (nessun sistema rilevato)</w:t>
            </w:r>
          </w:p>
        </w:tc>
        <w:tc>
          <w:tcPr>
            <w:tcW w:type="dxa" w:w="2160"/>
            <w:shd w:val="clear" w:color="auto" w:fill="EEF2F1"/>
          </w:tcPr>
          <w:p>
            <w:r>
              <w:rPr>
                <w:sz w:val="19"/>
              </w:rPr>
              <w:t>Obiettivo di processo: attivare la raccolta e misurare la crescita della lista</w:t>
            </w:r>
          </w:p>
        </w:tc>
        <w:tc>
          <w:tcPr>
            <w:tcW w:type="dxa" w:w="2160"/>
            <w:shd w:val="clear" w:color="auto" w:fill="EEF2F1"/>
          </w:tcPr>
          <w:p>
            <w:r>
              <w:rPr>
                <w:sz w:val="19"/>
              </w:rPr>
              <w:t>Avvio entro la chiusura stagionale corrente</w:t>
            </w:r>
          </w:p>
        </w:tc>
      </w:tr>
    </w:tbl>
    <w:p>
      <w:pPr>
        <w:spacing w:after="160"/>
      </w:pPr>
    </w:p>
    <w:p>
      <w:pPr>
        <w:spacing w:before="160" w:after="40"/>
      </w:pPr>
      <w:r>
        <w:rPr>
          <w:b/>
          <w:color w:val="2F5D62"/>
          <w:sz w:val="24"/>
        </w:rPr>
        <w:t>Azioni</w:t>
      </w:r>
    </w:p>
    <w:p>
      <w:pPr>
        <w:pStyle w:val="ListBullet"/>
      </w:pPr>
      <w:r>
        <w:t>Senza un cruscotto condiviso, ogni avanzamento rischia di essere raccontato per aneddoto piuttosto che misurato: la prima azione è impostare un report mensile unico che raccolga, per ciascuna delle azioni di canale (organico, AI, distribuzione, CRM), un solo numero di controllo e un commento operativo — non un dossier analitico, ma uno strumento decisionale che la proprietà possa leggere in cinque minuti.</w:t>
      </w:r>
    </w:p>
    <w:p>
      <w:pPr>
        <w:pStyle w:val="ListBullet"/>
      </w:pPr>
      <w:r>
        <w:t>Il punteggio reputazionale aggregato è una media cumulata su centinaia di recensioni e si muove per definizione con lentezza: ne consegue che il controllo va impostato su base trimestrale, non mensile, per evitare letture premature di oscillazioni naturali e per concentrare l'attenzione sulle azioni correttive (manutenzione, comunicazione pre-soggiorno) piuttosto che sull'inseguimento del numero.</w:t>
      </w:r>
    </w:p>
    <w:p>
      <w:pPr>
        <w:pStyle w:val="ListBullet"/>
      </w:pPr>
      <w:r>
        <w:t>La quota diretta e il relativo costo di acquisizione non hanno oggi una baseline nel fascicolo: prima di fissare qualunque target, va implementato un tracciamento che distingua le prenotazioni per canale (diretto vs OTA) e ne misuri il costo associato, così che la decisione su quanto investire in canale diretto rispetto a OTA (v. sez. 04) sia basata su dati propri e non su un benchmark di settore generico.</w:t>
      </w:r>
    </w:p>
    <w:p>
      <w:pPr>
        <w:pStyle w:val="ListBullet"/>
      </w:pPr>
      <w:r>
        <w:t>L'audit sugli assistenti AI è oggi parziale (un solo assistente misurato con successo su tre): prima di investire ulteriormente sul canale, va completata la misurazione sugli assistenti mancanti e impostato un controllo ricorrente trimestrale sulle stesse query per segmento, in modo da poter attribuire un eventuale miglioramento alle azioni di content e dati strutturati messe in campo e non al caso.</w:t>
      </w:r>
    </w:p>
    <w:p>
      <w:pPr>
        <w:pStyle w:val="ListBullet"/>
      </w:pPr>
      <w:r>
        <w:t>La raccolta contatti post-soggiorno, oggi assente, diventa misurabile solo se tracciata dal primo giorno: va impostato un conteggio mensile dei nuovi contatti raccolti e del tasso di apertura delle prime comunicazioni, come base per valutare in una fase successiva l'effetto sulla riprenotazione diretta (v. sez. 02).</w:t>
      </w:r>
    </w:p>
    <w:p>
      <w:pPr>
        <w:pStyle w:val="ListBullet"/>
      </w:pPr>
      <w:r>
        <w:t>Il nucleo di parole chiave da presidiare (v. sez. 03) richiede un controllo di posizionamento con cadenza almeno mensile nei mesi di avvicinamento alla stagione e settimanale in prossimità delle finestre di campagna, per intervenire rapidamente se una pagina non avanza come previsto.</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KPI</w:t>
            </w:r>
          </w:p>
        </w:tc>
        <w:tc>
          <w:tcPr>
            <w:tcW w:type="dxa" w:w="2880"/>
            <w:shd w:val="clear" w:color="auto" w:fill="2F5D62"/>
          </w:tcPr>
          <w:p>
            <w:r>
              <w:rPr>
                <w:b/>
                <w:color w:val="FFFFFF"/>
                <w:sz w:val="19"/>
              </w:rPr>
              <w:t>Cadenza di controllo</w:t>
            </w:r>
          </w:p>
        </w:tc>
        <w:tc>
          <w:tcPr>
            <w:tcW w:type="dxa" w:w="2880"/>
            <w:shd w:val="clear" w:color="auto" w:fill="2F5D62"/>
          </w:tcPr>
          <w:p>
            <w:r>
              <w:rPr>
                <w:b/>
                <w:color w:val="FFFFFF"/>
                <w:sz w:val="19"/>
              </w:rPr>
              <w:t>Responsabile</w:t>
            </w:r>
          </w:p>
        </w:tc>
      </w:tr>
      <w:tr>
        <w:tc>
          <w:tcPr>
            <w:tcW w:type="dxa" w:w="2880"/>
          </w:tcPr>
          <w:p>
            <w:r>
              <w:rPr>
                <w:sz w:val="19"/>
              </w:rPr>
              <w:t>Rating aggregato per piattaforma</w:t>
            </w:r>
          </w:p>
        </w:tc>
        <w:tc>
          <w:tcPr>
            <w:tcW w:type="dxa" w:w="2880"/>
          </w:tcPr>
          <w:p>
            <w:r>
              <w:rPr>
                <w:sz w:val="19"/>
              </w:rPr>
              <w:t>Trimestrale</w:t>
            </w:r>
          </w:p>
        </w:tc>
        <w:tc>
          <w:tcPr>
            <w:tcW w:type="dxa" w:w="2880"/>
          </w:tcPr>
          <w:p>
            <w:r>
              <w:rPr>
                <w:sz w:val="19"/>
              </w:rPr>
              <w:t>Gestione reputazione / direzione</w:t>
            </w:r>
          </w:p>
        </w:tc>
      </w:tr>
      <w:tr>
        <w:tc>
          <w:tcPr>
            <w:tcW w:type="dxa" w:w="2880"/>
            <w:shd w:val="clear" w:color="auto" w:fill="EEF2F1"/>
          </w:tcPr>
          <w:p>
            <w:r>
              <w:rPr>
                <w:sz w:val="19"/>
              </w:rPr>
              <w:t>Posizionamento organico sul nucleo di keyword prioritario</w:t>
            </w:r>
          </w:p>
        </w:tc>
        <w:tc>
          <w:tcPr>
            <w:tcW w:type="dxa" w:w="2880"/>
            <w:shd w:val="clear" w:color="auto" w:fill="EEF2F1"/>
          </w:tcPr>
          <w:p>
            <w:r>
              <w:rPr>
                <w:sz w:val="19"/>
              </w:rPr>
              <w:t>Mensile (settimanale in finestra di campagna)</w:t>
            </w:r>
          </w:p>
        </w:tc>
        <w:tc>
          <w:tcPr>
            <w:tcW w:type="dxa" w:w="2880"/>
            <w:shd w:val="clear" w:color="auto" w:fill="EEF2F1"/>
          </w:tcPr>
          <w:p>
            <w:r>
              <w:rPr>
                <w:sz w:val="19"/>
              </w:rPr>
              <w:t>Agenzia / referente SEO</w:t>
            </w:r>
          </w:p>
        </w:tc>
      </w:tr>
      <w:tr>
        <w:tc>
          <w:tcPr>
            <w:tcW w:type="dxa" w:w="2880"/>
          </w:tcPr>
          <w:p>
            <w:r>
              <w:rPr>
                <w:sz w:val="19"/>
              </w:rPr>
              <w:t>Presenza nelle risposte degli assistenti AI sulle query di segmento</w:t>
            </w:r>
          </w:p>
        </w:tc>
        <w:tc>
          <w:tcPr>
            <w:tcW w:type="dxa" w:w="2880"/>
          </w:tcPr>
          <w:p>
            <w:r>
              <w:rPr>
                <w:sz w:val="19"/>
              </w:rPr>
              <w:t>Trimestrale</w:t>
            </w:r>
          </w:p>
        </w:tc>
        <w:tc>
          <w:tcPr>
            <w:tcW w:type="dxa" w:w="2880"/>
          </w:tcPr>
          <w:p>
            <w:r>
              <w:rPr>
                <w:sz w:val="19"/>
              </w:rPr>
              <w:t>Agenzia</w:t>
            </w:r>
          </w:p>
        </w:tc>
      </w:tr>
      <w:tr>
        <w:tc>
          <w:tcPr>
            <w:tcW w:type="dxa" w:w="2880"/>
            <w:shd w:val="clear" w:color="auto" w:fill="EEF2F1"/>
          </w:tcPr>
          <w:p>
            <w:r>
              <w:rPr>
                <w:sz w:val="19"/>
              </w:rPr>
              <w:t>Quota diretta e costo di acquisizione per canale</w:t>
            </w:r>
          </w:p>
        </w:tc>
        <w:tc>
          <w:tcPr>
            <w:tcW w:type="dxa" w:w="2880"/>
            <w:shd w:val="clear" w:color="auto" w:fill="EEF2F1"/>
          </w:tcPr>
          <w:p>
            <w:r>
              <w:rPr>
                <w:sz w:val="19"/>
              </w:rPr>
              <w:t>Mensile, da attivare</w:t>
            </w:r>
          </w:p>
        </w:tc>
        <w:tc>
          <w:tcPr>
            <w:tcW w:type="dxa" w:w="2880"/>
            <w:shd w:val="clear" w:color="auto" w:fill="EEF2F1"/>
          </w:tcPr>
          <w:p>
            <w:r>
              <w:rPr>
                <w:sz w:val="19"/>
              </w:rPr>
              <w:t>Direzione / booking engine</w:t>
            </w:r>
          </w:p>
        </w:tc>
      </w:tr>
      <w:tr>
        <w:tc>
          <w:tcPr>
            <w:tcW w:type="dxa" w:w="2880"/>
          </w:tcPr>
          <w:p>
            <w:r>
              <w:rPr>
                <w:sz w:val="19"/>
              </w:rPr>
              <w:t>Parity tariffaria diretto vs OTA sui metasearch monitorati</w:t>
            </w:r>
          </w:p>
        </w:tc>
        <w:tc>
          <w:tcPr>
            <w:tcW w:type="dxa" w:w="2880"/>
          </w:tcPr>
          <w:p>
            <w:r>
              <w:rPr>
                <w:sz w:val="19"/>
              </w:rPr>
              <w:t>Mensile, da attivare</w:t>
            </w:r>
          </w:p>
        </w:tc>
        <w:tc>
          <w:tcPr>
            <w:tcW w:type="dxa" w:w="2880"/>
          </w:tcPr>
          <w:p>
            <w:r>
              <w:rPr>
                <w:sz w:val="19"/>
              </w:rPr>
              <w:t>Direzione</w:t>
            </w:r>
          </w:p>
        </w:tc>
      </w:tr>
      <w:tr>
        <w:tc>
          <w:tcPr>
            <w:tcW w:type="dxa" w:w="2880"/>
            <w:shd w:val="clear" w:color="auto" w:fill="EEF2F1"/>
          </w:tcPr>
          <w:p>
            <w:r>
              <w:rPr>
                <w:sz w:val="19"/>
              </w:rPr>
              <w:t>Crescita lista contatti post-soggiorno</w:t>
            </w:r>
          </w:p>
        </w:tc>
        <w:tc>
          <w:tcPr>
            <w:tcW w:type="dxa" w:w="2880"/>
            <w:shd w:val="clear" w:color="auto" w:fill="EEF2F1"/>
          </w:tcPr>
          <w:p>
            <w:r>
              <w:rPr>
                <w:sz w:val="19"/>
              </w:rPr>
              <w:t>Mensile, da attivare</w:t>
            </w:r>
          </w:p>
        </w:tc>
        <w:tc>
          <w:tcPr>
            <w:tcW w:type="dxa" w:w="2880"/>
            <w:shd w:val="clear" w:color="auto" w:fill="EEF2F1"/>
          </w:tcPr>
          <w:p>
            <w:r>
              <w:rPr>
                <w:sz w:val="19"/>
              </w:rPr>
              <w:t>Direzione / CRM</w:t>
            </w:r>
          </w:p>
        </w:tc>
      </w:tr>
    </w:tbl>
    <w:p>
      <w:pPr>
        <w:spacing w:after="160"/>
      </w:pPr>
    </w:p>
    <w:p>
      <w:pPr>
        <w:spacing w:before="160" w:after="40"/>
      </w:pPr>
      <w:r>
        <w:rPr>
          <w:b/>
          <w:color w:val="2F5D62"/>
          <w:sz w:val="24"/>
        </w:rPr>
        <w:t>Note esecutive</w:t>
      </w:r>
    </w:p>
    <w:p>
      <w:pPr>
        <w:pStyle w:val="ListBullet"/>
      </w:pPr>
      <w:r>
        <w:t>I benchmark di settore su costo di acquisizione diretto vs OTA e su ritorno dell'investimento in ricerca a marchio restano riferimenti da validare con i dati propri della struttura una volta disponibili: non vanno letti come obiettivi già assegnati al Royal Boutique Hotel, né citati come se fossero una sua misura attuale.</w:t>
      </w:r>
    </w:p>
    <w:p>
      <w:pPr>
        <w:pStyle w:val="ListBullet"/>
      </w:pPr>
      <w:r>
        <w:t>Le metriche tariffarie e di rendimento restano di competenza della struttura: questo piano non le tratta né le utilizza come KPI, nemmeno a titolo di contesto.</w:t>
      </w:r>
    </w:p>
    <w:p>
      <w:pPr>
        <w:pStyle w:val="ListBullet"/>
      </w:pPr>
      <w:r>
        <w:t>Fino a quando le baseline di quota diretta, parity e CAC non saranno disponibili, i relativi obiettivi restano di processo (misurare, impostare il tracciamento) e non numerici: il passaggio a un target numerico avverrà nella revisione successiva del piano, non prima.</w:t>
      </w:r>
    </w:p>
    <w:p>
      <w:r>
        <w:br w:type="page"/>
      </w:r>
    </w:p>
    <w:p>
      <w:pPr>
        <w:spacing w:after="0"/>
      </w:pPr>
      <w:r>
        <w:rPr>
          <w:b/>
          <w:color w:val="2F5D62"/>
          <w:sz w:val="18"/>
        </w:rPr>
        <w:t>SEZIONE 07</w:t>
      </w:r>
    </w:p>
    <w:p>
      <w:pPr>
        <w:spacing w:after="200"/>
        <w:pBdr>
          <w:bottom w:val="single" w:sz="18" w:space="6" w:color="2F5D62"/>
        </w:pBdr>
      </w:pPr>
      <w:r>
        <w:rPr>
          <w:b/>
          <w:color w:val="1A1A2E"/>
          <w:sz w:val="40"/>
        </w:rPr>
        <w:t>Budget (ripartizione %)</w:t>
      </w:r>
    </w:p>
    <w:p>
      <w:pPr>
        <w:spacing w:before="160" w:after="40"/>
      </w:pPr>
      <w:r>
        <w:rPr>
          <w:b/>
          <w:color w:val="2F5D62"/>
          <w:sz w:val="24"/>
        </w:rPr>
        <w:t>Ripartizione del budget (%, decision record)</w:t>
      </w:r>
    </w:p>
    <w:p>
      <w:r>
        <w:t>Budget marketing indicativo: 5-7% del ricavo (stadio: crescita). Ripartizione % per canale; gli importi in euro sono nell'allegato economico a cura dell'agenzia.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Canale</w:t>
            </w:r>
          </w:p>
        </w:tc>
        <w:tc>
          <w:tcPr>
            <w:tcW w:type="dxa" w:w="2880"/>
            <w:shd w:val="clear" w:color="auto" w:fill="2F5D62"/>
          </w:tcPr>
          <w:p>
            <w:r>
              <w:rPr>
                <w:b/>
                <w:color w:val="FFFFFF"/>
                <w:sz w:val="19"/>
              </w:rPr>
              <w:t>Ripartizione %</w:t>
            </w:r>
          </w:p>
        </w:tc>
        <w:tc>
          <w:tcPr>
            <w:tcW w:type="dxa" w:w="2880"/>
            <w:shd w:val="clear" w:color="auto" w:fill="2F5D62"/>
          </w:tcPr>
          <w:p>
            <w:r>
              <w:rPr>
                <w:b/>
                <w:color w:val="FFFFFF"/>
                <w:sz w:val="19"/>
              </w:rPr>
              <w:t>Verdetto</w:t>
            </w:r>
          </w:p>
        </w:tc>
      </w:tr>
      <w:tr>
        <w:tc>
          <w:tcPr>
            <w:tcW w:type="dxa" w:w="2880"/>
          </w:tcPr>
          <w:p>
            <w:r>
              <w:rPr>
                <w:sz w:val="19"/>
              </w:rPr>
              <w:t>SEO organico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Search advertising (Google Ads)</w:t>
            </w:r>
          </w:p>
        </w:tc>
        <w:tc>
          <w:tcPr>
            <w:tcW w:type="dxa" w:w="2880"/>
            <w:shd w:val="clear" w:color="auto" w:fill="EEF2F1"/>
          </w:tcPr>
          <w:p>
            <w:r>
              <w:rPr>
                <w:sz w:val="19"/>
              </w:rPr>
              <w:t>30-40%</w:t>
            </w:r>
          </w:p>
        </w:tc>
        <w:tc>
          <w:tcPr>
            <w:tcW w:type="dxa" w:w="2880"/>
            <w:shd w:val="clear" w:color="auto" w:fill="EEF2F1"/>
          </w:tcPr>
          <w:p>
            <w:r>
              <w:rPr>
                <w:sz w:val="19"/>
              </w:rPr>
              <w:t>Attivare (stagionale)</w:t>
            </w:r>
          </w:p>
        </w:tc>
      </w:tr>
      <w:tr>
        <w:tc>
          <w:tcPr>
            <w:tcW w:type="dxa" w:w="2880"/>
          </w:tcPr>
          <w:p>
            <w:r>
              <w:rPr>
                <w:sz w:val="19"/>
              </w:rPr>
              <w:t>Sito &amp; booking diretto</w:t>
            </w:r>
          </w:p>
        </w:tc>
        <w:tc>
          <w:tcPr>
            <w:tcW w:type="dxa" w:w="2880"/>
          </w:tcPr>
          <w:p>
            <w:r>
              <w:rPr>
                <w:sz w:val="19"/>
              </w:rPr>
              <w:t>15-25%</w:t>
            </w:r>
          </w:p>
        </w:tc>
        <w:tc>
          <w:tcPr>
            <w:tcW w:type="dxa" w:w="2880"/>
          </w:tcPr>
          <w:p>
            <w:r>
              <w:rPr>
                <w:sz w:val="19"/>
              </w:rPr>
              <w:t>Attivare</w:t>
            </w:r>
          </w:p>
        </w:tc>
      </w:tr>
      <w:tr>
        <w:tc>
          <w:tcPr>
            <w:tcW w:type="dxa" w:w="2880"/>
            <w:shd w:val="clear" w:color="auto" w:fill="EEF2F1"/>
          </w:tcPr>
          <w:p>
            <w:r>
              <w:rPr>
                <w:sz w:val="19"/>
              </w:rPr>
              <w:t>Social organico</w:t>
            </w:r>
          </w:p>
        </w:tc>
        <w:tc>
          <w:tcPr>
            <w:tcW w:type="dxa" w:w="2880"/>
            <w:shd w:val="clear" w:color="auto" w:fill="EEF2F1"/>
          </w:tcPr>
          <w:p>
            <w:r>
              <w:rPr>
                <w:sz w:val="19"/>
              </w:rPr>
              <w:t>15-25%</w:t>
            </w:r>
          </w:p>
        </w:tc>
        <w:tc>
          <w:tcPr>
            <w:tcW w:type="dxa" w:w="2880"/>
            <w:shd w:val="clear" w:color="auto" w:fill="EEF2F1"/>
          </w:tcPr>
          <w:p>
            <w:r>
              <w:rPr>
                <w:sz w:val="19"/>
              </w:rPr>
              <w:t>Rafforzare</w:t>
            </w:r>
          </w:p>
        </w:tc>
      </w:tr>
    </w:tbl>
    <w:p>
      <w:pPr>
        <w:spacing w:after="160"/>
      </w:pPr>
    </w:p>
    <w:p>
      <w:r>
        <w:t>Riferimenti di settore (agency/vendor, da validare sui dati reali del cliente — la ripartizione operativa resta quella della tabella qui sopra): search e metasearch dal 30% al 40%; social e video dal 15% al 25%; SEO, contenuti e presenza locale dal 15% al 25%; email e CRM dal 10% al 15%; display e retargeting dal 5% al 10%; riallocazione trimestrale dal 10% al 20% in base ai risultati per canale.</w:t>
      </w:r>
    </w:p>
    <w:p>
      <w:r>
        <w:t>La tabella fissa l'ordine di priorità operativa, non una ripartizione uniforme nei dodici mesi: il peso maggiore va a search &amp; metasearch e a SEO/local perché è lì che si gioca il recupero del gap di intercettazione già diagnosticato, mentre social, email/CRM e display restano quote di supporto da attivare in sequenza, non in parallelo fin dal primo mese. Il criterio guida per allocare la spesa reale all'interno di ciascun range è la stagionalità stagionale pura della struttura (apertura maggio-settembre) e le finestre di campagna già fissate in roadmap: nei mesi di chiusura il budget si concentra su SEO/content (cantiere digitale) ed email/CRM verso i ripetenti, mentre nei mesi di apertura si sposta su search/metasearch e social per sostenere la domanda a ridosso delle date.</w:t>
      </w:r>
    </w:p>
    <w:p>
      <w:pPr>
        <w:spacing w:before="160" w:after="40"/>
      </w:pPr>
      <w:r>
        <w:rPr>
          <w:b/>
          <w:color w:val="2F5D62"/>
          <w:sz w:val="24"/>
        </w:rPr>
        <w:t>Obiettivi misurabili</w:t>
      </w:r>
    </w:p>
    <w:p>
      <w:pPr>
        <w:pStyle w:val="ListBullet"/>
      </w:pPr>
      <w:r>
        <w:t>Allocare la prima tranche di budget stagionale su SEO &amp; content e su search non-brand entro l'apertura del cantiere digitale (v. sez. 05), prima dell'apertura commerciale della struttura</w:t>
      </w:r>
    </w:p>
    <w:p>
      <w:pPr>
        <w:pStyle w:val="ListBullet"/>
      </w:pPr>
      <w:r>
        <w:t>Riservare la quota email/CRM del budget al flusso di ricontatto post-soggiorno verso famiglie e coppie, attivo prima dell'apertura della finestra di prenotazione dei ripetenti</w:t>
      </w:r>
    </w:p>
    <w:p>
      <w:pPr>
        <w:pStyle w:val="ListBullet"/>
      </w:pPr>
      <w:r>
        <w:t>Impostare una revisione trimestrale della ripartizione tra i canali della tabella in base alle performance rilevate (nessuna riallocazione a canali non presenti in tabella)</w:t>
      </w:r>
    </w:p>
    <w:p>
      <w:pPr>
        <w:spacing w:before="160" w:after="40"/>
      </w:pPr>
      <w:r>
        <w:rPr>
          <w:b/>
          <w:color w:val="2F5D62"/>
          <w:sz w:val="24"/>
        </w:rPr>
        <w:t>Azioni</w:t>
      </w:r>
    </w:p>
    <w:p>
      <w:pPr>
        <w:pStyle w:val="ListBullet"/>
      </w:pPr>
      <w:r>
        <w:t>Zero parole chiave presidiate su un volume di domanda consistente rende prioritario destinare la quota più alta della tabella — search &amp; metasearch insieme a SEO &amp; content &amp; local — ai mesi di chiusura stagionale, quando il cantiere digitale è aperto e nessuna camera va venduta in quel momento: è lì che la spesa su contenuti e struttura del sito produce l'effetto che si vedrà nei mesi di apertura, non il contrario.</w:t>
      </w:r>
    </w:p>
    <w:p>
      <w:pPr>
        <w:pStyle w:val="ListBullet"/>
      </w:pPr>
      <w:r>
        <w:t>La quota email/CRM, pur essendo la più piccola della tabella, va spesa in anticipo rispetto alle altre: il ricontatto dei ripetenti precede l'apertura della finestra di prenotazione dei segmenti famiglia e coppia, quindi il budget per questa attività si impegna nei mesi di chiusura insieme al cantiere, non quando la struttura è già aperta.</w:t>
      </w:r>
    </w:p>
    <w:p>
      <w:pPr>
        <w:pStyle w:val="ListBullet"/>
      </w:pPr>
      <w:r>
        <w:t>La quota social &amp; video si attiva in parallelo all'apertura, con priorità alla raccolta di materiale dal campo (foto/video ospiti) che alimenterà i contenuti della stagione successiva: il budget qui serve a sostenere la visibilità nella finestra di prenotazione a ridosso delle date, non a costruire awareness di lungo periodo.</w:t>
      </w:r>
    </w:p>
    <w:p>
      <w:pPr>
        <w:pStyle w:val="ListBullet"/>
      </w:pPr>
      <w:r>
        <w:t>La quota display/retargeting, la più contenuta della tabella, va riservata a chi ha già interagito con il sito o con la newsletter di riapertura: in una struttura con mix di clientela quasi interamente italiano e domanda organica non presidiata, il retargeting rende solo dopo che search e SEO hanno iniziato a generare traffico qualificato da intercettare.</w:t>
      </w:r>
    </w:p>
    <w:p>
      <w:pPr>
        <w:pStyle w:val="ListBullet"/>
      </w:pPr>
      <w:r>
        <w:t>La riallocazione trimestrale prevista dal benchmark operativo (una quota del budget digitale spostata tra i canali della tabella in base a ROAS e costo di acquisizione per canale) va applicata solo dopo aver raccolto almeno un trimestre di dati propri su ciascun canale, perché oggi non esiste una baseline cliente da cui partire.</w:t>
      </w:r>
    </w:p>
    <w:p>
      <w:pPr>
        <w:spacing w:before="160" w:after="40"/>
      </w:pPr>
      <w:r>
        <w:rPr>
          <w:b/>
          <w:color w:val="2F5D62"/>
          <w:sz w:val="24"/>
        </w:rPr>
        <w:t>KPI</w:t>
      </w:r>
    </w:p>
    <w:p>
      <w:r>
        <w:t>I KPI numerici di controllo sulla spesa (costo di acquisizione per canale, ROAS, quota diretta) sono raccolti in sez. 06 Misurazione; qui si monitora solo la coerenza temporale tra l'allocazione per canale e le finestre di apertura/chiusura della roadmap.</w:t>
      </w:r>
    </w:p>
    <w:p>
      <w:pPr>
        <w:spacing w:before="160" w:after="40"/>
      </w:pPr>
      <w:r>
        <w:rPr>
          <w:b/>
          <w:color w:val="2F5D62"/>
          <w:sz w:val="24"/>
        </w:rPr>
        <w:t>Note esecutive</w:t>
      </w:r>
    </w:p>
    <w:p>
      <w:pPr>
        <w:pStyle w:val="ListBullet"/>
      </w:pPr>
      <w:r>
        <w:t>La ripartizione è percentuale sul budget digitale complessivo: l'importo assoluto in euro richiede il ricavo reale della struttura e resta un input da raccogliere (v. sez. 11), non un dato stimabile in questo piano.</w:t>
      </w:r>
    </w:p>
    <w:p>
      <w:pPr>
        <w:pStyle w:val="ListBullet"/>
      </w:pPr>
      <w:r>
        <w:t>I range per canale e la quota di riallocazione trimestrale sono riferimenti di settore da validare con i costi effettivamente sostenuti dalla struttura, non target fissi uguali per ogni anno di attività.</w:t>
      </w:r>
    </w:p>
    <w:p>
      <w:pPr>
        <w:pStyle w:val="ListBullet"/>
      </w:pPr>
      <w:r>
        <w:t>Le metriche tariffarie e di rendimento restano di competenza della struttura: questo piano non tocca prezzi e listini se non come vetrina all'interno delle attività di search e content già allocate in tabella.</w:t>
      </w:r>
    </w:p>
    <w:p>
      <w:r>
        <w:br w:type="page"/>
      </w:r>
    </w:p>
    <w:p>
      <w:pPr>
        <w:spacing w:after="0"/>
      </w:pPr>
      <w:r>
        <w:rPr>
          <w:b/>
          <w:color w:val="2F5D62"/>
          <w:sz w:val="18"/>
        </w:rPr>
        <w:t>APPENDICE</w:t>
      </w:r>
    </w:p>
    <w:p>
      <w:pPr>
        <w:spacing w:after="200"/>
        <w:pBdr>
          <w:bottom w:val="single" w:sz="18" w:space="6" w:color="2F5D62"/>
        </w:pBdr>
      </w:pPr>
      <w:r>
        <w:rPr>
          <w:b/>
          <w:color w:val="1A1A2E"/>
          <w:sz w:val="40"/>
        </w:rPr>
        <w:t>Assunzioni &amp; input mancanti</w:t>
      </w:r>
    </w:p>
    <w:p>
      <w:r>
        <w:t>Questo piano è costruito per essere operativo da subito, ma alcune sue componenti - la ripartizione di budget, la soglia di maturità della quota diretta, la lettura degli assistenti AI, il calendario fiere - restano condizionate a dati che oggi non sono nel fascicolo. Questa sezione li elenca uno per uno, separando ciò che è benchmark di settore (da validare) da ciò che è semplicemente input da raccogliere presso la proprietà, e rimandando a un allegato commerciale separato ogni importo in euro.</w:t>
      </w:r>
    </w:p>
    <w:p>
      <w:pPr>
        <w:spacing w:before="160" w:after="40"/>
      </w:pPr>
      <w:r>
        <w:rPr>
          <w:b/>
          <w:color w:val="2F5D62"/>
          <w:sz w:val="24"/>
        </w:rPr>
        <w:t>Benchmark di settore usati nel piano (da validare col dato reale del cliente)</w:t>
      </w:r>
    </w:p>
    <w:p>
      <w:pPr>
        <w:pStyle w:val="ListBullet"/>
      </w:pPr>
      <w:r>
        <w:t>Ripartizione del budget per canale/attività (sez. 07): basata su proporzioni ricorrenti nel settore alberghiero, non sul ricavo reale della struttura, che non è stato fornito. Da validare non appena disponibile il ricavo camere dell'ultima stagione chiusa.</w:t>
      </w:r>
    </w:p>
    <w:p>
      <w:pPr>
        <w:pStyle w:val="ListBullet"/>
      </w:pPr>
      <w:r>
        <w:t>Costo di acquisizione diretto (~4-5% del ricavo) vs commissione OTA (15-30%), e CAC diretto indicativo (~15-25€) vs OTA (~35-60€): sono riferimenti di settore citati per motivare lo spostamento di quota verso il diretto, non valori misurati sul Royal Boutique Hotel. Vanno sostituiti con lo storico reale non appena accessibile.</w:t>
      </w:r>
    </w:p>
    <w:p>
      <w:pPr>
        <w:pStyle w:val="ListBullet"/>
      </w:pPr>
      <w:r>
        <w:t>ROAS indicativo ~8:1 su brand/metasearch per strutture indipendenti: soglia di riferimento per valutare le prime campagne a performance, non un target contrattuale.</w:t>
      </w:r>
    </w:p>
    <w:p>
      <w:pPr>
        <w:pStyle w:val="ListBullet"/>
      </w:pPr>
      <w:r>
        <w:t>Soglia 'giusta' di direct-booking ratio: non esiste un valore universale (dipende da notorietà, stagione, capacità marketing interna); il piano non fissa un target numerico su questo KPI perché manca la baseline storica (v. punto successivo).</w:t>
      </w:r>
    </w:p>
    <w:p>
      <w:pPr>
        <w:spacing w:before="160" w:after="40"/>
      </w:pPr>
      <w:r>
        <w:rPr>
          <w:b/>
          <w:color w:val="2F5D62"/>
          <w:sz w:val="24"/>
        </w:rPr>
        <w:t>Input del cliente non ancora disponibili</w:t>
      </w:r>
    </w:p>
    <w:p>
      <w:pPr>
        <w:pStyle w:val="ListBullet"/>
      </w:pPr>
      <w:r>
        <w:t>Quota di prenotazione diretta storica e CAC per canale (diretto vs OTA): senza questa baseline qualsiasi obiettivo numerico sulla quota diretta resta un obiettivo di processo (misurare), non un target.</w:t>
      </w:r>
    </w:p>
    <w:p>
      <w:pPr>
        <w:pStyle w:val="ListBullet"/>
      </w:pPr>
      <w:r>
        <w:t>Budget marketing realmente investito nelle stagioni precedenti, con relativa ripartizione per canale: necessario per trasformare la ripartizione percentuale di sez. 07 in importi operativi.</w:t>
      </w:r>
    </w:p>
    <w:p>
      <w:pPr>
        <w:pStyle w:val="ListBullet"/>
      </w:pPr>
      <w:r>
        <w:t>Dati di rendimento (occupazione, tariffa media, RevPAR) delle ultime stagioni: restano di competenza della struttura (revenue management, fuori perimetro di questo piano) ma sono l'input indispensabile per calibrare, a valle, l'allocazione stagionale del budget indicata in sez. 05 e 07.</w:t>
      </w:r>
    </w:p>
    <w:p>
      <w:pPr>
        <w:pStyle w:val="ListBullet"/>
      </w:pPr>
      <w:r>
        <w:t>Calendario eventi locali e fieristico (incluse le date specifiche di Rimini Wellness, Tecnocasa, Misano World Circuit per l'anno in corso): il piano ne riconosce la rilevanza strutturale in sez. 05, ma le date esatte vanno acquisite da fonte esterna (ente fiera/organizzatore) prima di costruire le pagine stagionali dedicate.</w:t>
      </w:r>
    </w:p>
    <w:p>
      <w:pPr>
        <w:pStyle w:val="ListBullet"/>
      </w:pPr>
      <w:r>
        <w:t>Accesso a Google Analytics 4, Search Console, Google Business Profile e al motore di prenotazione del sito: indispensabile per misurare i KPI di sez. 06 (visibilità organica, conversione, comportamento pre-booking) e per verificare friction e velocità di caricamento, oggi non misurate.</w:t>
      </w:r>
    </w:p>
    <w:p>
      <w:pPr>
        <w:pStyle w:val="ListBullet"/>
      </w:pPr>
      <w:r>
        <w:t>Accesso al gestionale/PMS per l'estrazione di occupazione e finestre di prenotazione reali per mercato: le finestre citate nel piano (sez. 05) sono ipotesi di mercato, non dati del PMS della struttura.</w:t>
      </w:r>
    </w:p>
    <w:p>
      <w:pPr>
        <w:pStyle w:val="ListBullet"/>
      </w:pPr>
      <w:r>
        <w:t>Stato di presenza e di parity tariffaria sui metasearch (Google Hotel Ads, Trivago, Kayak): segnalato come priorità di verifica in sez. 04, ma oggi non misurato.</w:t>
      </w:r>
    </w:p>
    <w:p>
      <w:pPr>
        <w:pStyle w:val="ListBullet"/>
      </w:pPr>
      <w:r>
        <w:t>Audit social (Instagram, Facebook) e qualità/completezza del profilo Google Business Profile (foto, attributi, Q&amp;A): non misurati in questo ciclo diagnostico.</w:t>
      </w:r>
    </w:p>
    <w:p>
      <w:pPr>
        <w:spacing w:before="160" w:after="40"/>
      </w:pPr>
      <w:r>
        <w:rPr>
          <w:b/>
          <w:color w:val="2F5D62"/>
          <w:sz w:val="24"/>
        </w:rPr>
        <w:t>Dati di ricerca e visibilità AI: cosa c'è e cosa manca</w:t>
      </w:r>
    </w:p>
    <w:p>
      <w:pPr>
        <w:pStyle w:val="ListBullet"/>
      </w:pPr>
      <w:r>
        <w:t>La domanda di ricerca legata alla destinazione è già disponibile e censita (ledger canonico): 22 keyword di domanda, 0 presidiate, volume mensile in gap pari a quello riportato in sez. 01 e 03. Non è un input mancante: è il perimetro su cui costruire i contenuti, già usato nel piano.</w:t>
      </w:r>
    </w:p>
    <w:p>
      <w:pPr>
        <w:pStyle w:val="ListBullet"/>
      </w:pPr>
      <w:r>
        <w:t>Un eventuale export aggiornato della stessa fonte, se realizzato in una fase successiva, entra nel piano solo come delta datato rispetto al ledger attuale, non come sostituzione.</w:t>
      </w:r>
    </w:p>
    <w:p>
      <w:pPr>
        <w:pStyle w:val="ListBullet"/>
      </w:pPr>
      <w:r>
        <w:t>Dati di traffico organico reale (sessioni, pagine di ingresso, conversioni) da Search Console e GA4 restano da integrare: il ledger canonico misura la domanda disponibile, non il comportamento effettivo degli utenti sul sito.</w:t>
      </w:r>
    </w:p>
    <w:p>
      <w:pPr>
        <w:pStyle w:val="ListBullet"/>
      </w:pPr>
      <w:r>
        <w:t>L'audit di visibilità sugli assistenti AI è parziale: solo un assistente è stato misurato con successo su tre query di segmento, con esito di assenza in tutte e tre a fronte di competitor citati esplicitamente. Gli altri due assistenti previsti dall'audit non hanno restituito risultato per un problema tecnico di accesso: il dato è mancante, non equivale ad assenza reale, e va ripetuto con credenziali valide prima di trarne conclusioni definitive (v. azione corrispondente in sez. 03).</w:t>
      </w:r>
    </w:p>
    <w:p>
      <w:pPr>
        <w:spacing w:before="160" w:after="40"/>
      </w:pPr>
      <w:r>
        <w:rPr>
          <w:b/>
          <w:color w:val="2F5D62"/>
          <w:sz w:val="24"/>
        </w:rPr>
        <w:t>Economics e proposta commerciale</w:t>
      </w:r>
    </w:p>
    <w:p>
      <w:pPr>
        <w:pStyle w:val="ListBullet"/>
      </w:pPr>
      <w:r>
        <w:t>Questo piano esprime il budget esclusivamente come ripartizione percentuale tra canali e attività (sez. 07): non contiene importi in euro.</w:t>
      </w:r>
    </w:p>
    <w:p>
      <w:pPr>
        <w:pStyle w:val="ListBullet"/>
      </w:pPr>
      <w:r>
        <w:t>La trasformazione della ripartizione percentuale in importi, e il relativo preventivo operativo, sono oggetto di un allegato commerciale separato, costruito una volta disponibile il budget reale della proprietà.</w:t>
      </w:r>
    </w:p>
    <w:p>
      <w:pPr>
        <w:spacing w:before="160" w:after="40"/>
      </w:pPr>
      <w:r>
        <w:rPr>
          <w:b/>
          <w:color w:val="2F5D62"/>
          <w:sz w:val="24"/>
        </w:rPr>
        <w:t>Obiettivi misurabili</w:t>
      </w:r>
    </w:p>
    <w:p>
      <w:pPr>
        <w:pStyle w:val="ListBullet"/>
      </w:pPr>
      <w:r>
        <w:t>Raccogliere, entro l'avvio del prossimo ciclo commerciale, la quota diretta storica e il budget marketing delle ultime due stagioni come baseline di riferimento.</w:t>
      </w:r>
    </w:p>
    <w:p>
      <w:pPr>
        <w:pStyle w:val="ListBullet"/>
      </w:pPr>
      <w:r>
        <w:t>Ottenere accesso a GA4, Search Console e Google Business Profile prima dell'avvio delle azioni di contenuto e distribuzione previste in sez. 03-05.</w:t>
      </w:r>
    </w:p>
    <w:p>
      <w:pPr>
        <w:pStyle w:val="ListBullet"/>
      </w:pPr>
      <w:r>
        <w:t>Ripetere l'audit di visibilità sugli assistenti AI con credenziali valide sui due assistenti oggi non misurati, entro l'inizio della prossima finestra di campagna indicata in sez. 05.</w:t>
      </w:r>
    </w:p>
    <w:p>
      <w:pPr>
        <w:spacing w:before="160" w:after="40"/>
      </w:pPr>
      <w:r>
        <w:rPr>
          <w:b/>
          <w:color w:val="2F5D62"/>
          <w:sz w:val="24"/>
        </w:rPr>
        <w:t>Azioni</w:t>
      </w:r>
    </w:p>
    <w:p>
      <w:r>
        <w:t>La mancanza di una baseline storica sulla quota diretta e sul CAC per canale impedisce di fissare oggi un target numerico credibile su questo KPI: l'azione corretta non è stimarlo ma attivare, nelle prime settimane di collaborazione, una richiesta formale alla proprietà dei dati gestionali minimi (estrazione PMS per canale, ultime due stagioni) e un accesso in lettura a GA4 e Search Console, in modo che la prima revisione trimestrale del piano possa finalmente ancorare gli obiettivi di sez. 06 a numeri reali e non a benchmark di settore. Allo stesso modo, l'esito solo parziale dell'audit sugli assistenti AI (un assistente misurato su tre, due in errore tecnico) rende prudente non investire ulteriormente su quel fronte prima di una rilevazione completa: l'azione è ripetere l'audit con credenziali valide, a basso costo e rapidamente, prima di qualunque decisione di budget dedicata alla visibilità AI. Sul fronte calendario eventi, l'assenza delle date precise 2026/2027 di Rimini Wellness, Tecnocasa e Misano World Circuit impone di raccoglierle da fonte ufficiale (ente fiera, circuito) con margine sufficiente a costruire le pagine stagionali previste in sez. 05, piuttosto che pianificarle su stime.</w:t>
      </w:r>
    </w:p>
    <w:p>
      <w:pPr>
        <w:spacing w:before="160" w:after="40"/>
      </w:pPr>
      <w:r>
        <w:rPr>
          <w:b/>
          <w:color w:val="2F5D62"/>
          <w:sz w:val="24"/>
        </w:rPr>
        <w:t>KPI</w:t>
      </w:r>
    </w:p>
    <w:p>
      <w:r>
        <w:t>v. sez. 06 per i KPI numerici del piano; questa sezione non introduce nuovi indicatori ma ne condiziona l'affidabilità alla raccolta dei dati elencati sopra.</w:t>
      </w:r>
    </w:p>
    <w:p>
      <w:pPr>
        <w:spacing w:before="160" w:after="40"/>
      </w:pPr>
      <w:r>
        <w:rPr>
          <w:b/>
          <w:color w:val="2F5D62"/>
          <w:sz w:val="24"/>
        </w:rPr>
        <w:t>Note esecutive</w:t>
      </w:r>
    </w:p>
    <w:p>
      <w:pPr>
        <w:pStyle w:val="ListBullet"/>
      </w:pPr>
      <w:r>
        <w:t>Nessun importo in euro, tariffa, occupazione o RevPAR deve essere letto come dato misurato in questo piano: dove comparsi, sono benchmark di settore esplicitamente segnalati come tali, oppure argomenti di vetrina commerciale, non variabili di revenue management su cui questo piano interviene.</w:t>
      </w:r>
    </w:p>
    <w:p>
      <w:pPr>
        <w:pStyle w:val="ListBullet"/>
      </w:pPr>
      <w:r>
        <w:t>La revisione del piano a valle della raccolta di questi input (in particolare quota diretta/CAC storici e accesso GA4/Search Console) è il passaggio che consente di passare da obiettivi di processo a target numerici veri nelle prossime versioni del documento.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