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LETIZIA</w:t>
      </w:r>
    </w:p>
    <w:p>
      <w:pPr>
        <w:jc w:val="center"/>
      </w:pPr>
      <w:r>
        <w:rPr>
          <w:color w:val="6B7280"/>
          <w:sz w:val="26"/>
        </w:rPr>
        <w:t>Bellaria Igea Marina  ·  3 stelle</w:t>
      </w:r>
    </w:p>
    <w:p>
      <w:pPr>
        <w:spacing w:before="360"/>
        <w:pBdr>
          <w:bottom w:val="single" w:sz="12" w:space="6" w:color="2F5D62"/>
        </w:pBdr>
      </w:pPr>
    </w:p>
    <w:p>
      <w:pPr>
        <w:spacing w:before="160"/>
        <w:jc w:val="center"/>
      </w:pPr>
      <w:r>
        <w:rPr>
          <w:color w:val="6B7280"/>
          <w:sz w:val="18"/>
        </w:rPr>
        <w:t>Documento operativo · 09/10/2026 13:03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Hotel Letizia gioca la partita giusta nel segmento budget a tre stelle di Bellaria Igea Marina su un terreno preciso: famiglia a un minuto dal mare con gestione diretta da tre generazioni e cucina romagnola fatta in casa, un posizionamento che la clientela reale conferma in modo quasi unanime e che nessun competitor del set dichiara con la stessa forza esplicita. La mossa dei prossimi dodici mesi non è reinventare il posizionamento ma renderlo visibile ed esigibile in tre punti dove oggi si disperde: la ricerca organica non-brand, dove la struttura è più debole di concorrenti locali di autorità superiore; la citabilità dagli assistenti AI nella fase di shortlist, dove l'hotel risulta assente a favore di competitor diretti; e la coerenza tra l'investimento editoriale sulle fiere/eventi e un pubblico che nei fatti è quasi integralmente leisure. Il piano riallinea sforzo e domanda reale, blinda il vantaggio relazionale con repeat-guest e CRM, e mette il prodotto famiglia/coppia nella grammatica corretta — formule, spiaggia inclusa, book early — più che in una riscrittura dell'identità.</w:t>
      </w:r>
    </w:p>
    <w:p>
      <w:pPr>
        <w:spacing w:before="160" w:after="40"/>
      </w:pPr>
      <w:r>
        <w:rPr>
          <w:b/>
          <w:color w:val="2F5D62"/>
          <w:sz w:val="24"/>
        </w:rPr>
        <w:t>Obiettivi misurabili</w:t>
      </w:r>
    </w:p>
    <w:p>
      <w:pPr>
        <w:pStyle w:val="ListBullet"/>
      </w:pPr>
      <w:r>
        <w:t>Colmare il gap di autorità organica su query non-brand ad alto volume locale entro il prossimo ciclo di stagione aperta (v. sez. 06 per i KPI numerici)</w:t>
      </w:r>
    </w:p>
    <w:p>
      <w:pPr>
        <w:pStyle w:val="ListBullet"/>
      </w:pPr>
      <w:r>
        <w:t>Attivare una raccolta sistematica di contatti post-soggiorno per alimentare il loyalty loop già presente nelle relazioni con gli ospiti (obiettivo di processo: la baseline CRM non è oggi disponibile)</w:t>
      </w:r>
    </w:p>
    <w:p>
      <w:pPr>
        <w:pStyle w:val="ListBullet"/>
      </w:pPr>
      <w:r>
        <w:t>Rendere l'hotel citabile dagli assistenti AI nelle query di shortlist famiglia, correggendo l'assenza rilevata, prima di ampliare ulteriormente l'investimento editoriale sul tema</w:t>
      </w:r>
    </w:p>
    <w:p>
      <w:pPr>
        <w:pStyle w:val="ListBullet"/>
      </w:pPr>
      <w:r>
        <w:t>Riequilibrare lo sforzo di contenuto sul segmento fiere/eventi rispetto al peso reale che questo pubblico ha nella clientela effettiva</w:t>
      </w:r>
    </w:p>
    <w:p>
      <w:pPr>
        <w:spacing w:before="160" w:after="40"/>
      </w:pPr>
      <w:r>
        <w:rPr>
          <w:b/>
          <w:color w:val="2F5D62"/>
          <w:sz w:val="24"/>
        </w:rPr>
        <w:t>Azioni</w:t>
      </w:r>
    </w:p>
    <w:p>
      <w:r>
        <w:t>Lo scarto tra l'autorità organica della struttura e quella di concorrenti diretti per ricerca, su un pacchetto di query già in comune, significa che la domanda locale esiste ma oggi la intercetta più facilmente chi presidia meglio i contenuti non-brand: la struttura deve quindi spostare priorità editoriale dalle pagine evento a bassa resa verso cluster tematici famiglia/coppia a volume già confermato, rafforzando le pagine di prodotto (camere, spiaggia, cucina) con i contenuti fattuali che oggi mancano — numero di camere family, distanza precisa dal mare, policy delle formule — che sono anche la base per essere citati correttamente dagli assistenti conversazionali.</w:t>
      </w:r>
    </w:p>
    <w:p>
      <w:r>
        <w:t>L'assenza della struttura nelle risposte di shortlist per le query famiglia implica che chi oggi usa un assistente AI per restringere la scelta trova i competitor e non Hotel Letizia: prima di investire ulteriormente in contenuti o canali, va quindi completato l'audit di visibilità sugli assistenti non ancora misurabili e va garantita coerenza di nome, indirizzo, telefono e servizi tra sito, profilo Google e portali, condizione minima per essere considerati affidabili da un sistema che aggrega fonti terze.</w:t>
      </w:r>
    </w:p>
    <w:p>
      <w:r>
        <w:t>Il disallineamento tra le pagine dedicate a fiere e grandi eventi e un pubblico che nelle recensioni è quasi integralmente leisure implica che quello sforzo editoriale va mantenuto solo come presidio difensivo e stagionalmente mirato, non ampliato: la priorità si sposta sul consolidare i contenuti e le offerte per famiglia e coppia, i due segmenti che generano la quasi totalità della soddisfazione osservata, mentre il posizionamento fieristico resta una copertura opportunistica nelle finestre in cui l'apertura stagionale lo consente.</w:t>
      </w:r>
    </w:p>
    <w:p>
      <w:r>
        <w:t>La relazione personale con lo staff, riconosciuta per nome nelle recensioni, è un asset che oggi non si traduce in una infrastruttura di contatto: l'assenza di un canale scritto dichiarato (solo telefono) e di qualunque raccolta email o loyalty implica che la struttura rischia di disperdere un vantaggio competitivo distintivo nel momento del passaparola digitale; va quindi attivato un canale scritto (email o WhatsApp Business) accanto al telefono e una raccolta contatti post-soggiorno sistematica, propedeutica a ogni futura attività di richiamo verso i già-ospiti.</w:t>
      </w:r>
    </w:p>
    <w:p>
      <w:pPr>
        <w:spacing w:before="160" w:after="40"/>
      </w:pPr>
      <w:r>
        <w:rPr>
          <w:b/>
          <w:color w:val="2F5D62"/>
          <w:sz w:val="24"/>
        </w:rPr>
        <w:t>KPI</w:t>
      </w:r>
    </w:p>
    <w:p>
      <w:pPr>
        <w:pStyle w:val="ListBullet"/>
      </w:pPr>
      <w:r>
        <w:t>I KPI numerici di controllo (visibilità organica, presenza AEO, attivazione CRM, direct ratio) sono definiti in modo unitario in sez. 06 — Measurement, per evitare duplicazioni di target nel presente documento.</w:t>
      </w:r>
    </w:p>
    <w:p>
      <w:pPr>
        <w:spacing w:before="160" w:after="40"/>
      </w:pPr>
      <w:r>
        <w:rPr>
          <w:b/>
          <w:color w:val="2F5D62"/>
          <w:sz w:val="24"/>
        </w:rPr>
        <w:t>Note esecutive</w:t>
      </w:r>
    </w:p>
    <w:p>
      <w:pPr>
        <w:pStyle w:val="ListBullet"/>
      </w:pPr>
      <w:r>
        <w:t>Il posizionamento dichiarato su fiere ed eventi non va eliminato ma ridimensionato: resta una leva legittima nelle finestre di apertura stagionale compatibili con il calendario fieristico, non un asse di comunicazione primario.</w:t>
      </w:r>
    </w:p>
    <w:p>
      <w:pPr>
        <w:pStyle w:val="ListBullet"/>
      </w:pPr>
      <w:r>
        <w:t>Ogni azione su contenuti e visibilità AI va letta come lavoro di cantiere da collocare nel periodo di chiusura stagionale, secondo la logica operativa già nota alla gestione della struttura.</w:t>
      </w:r>
    </w:p>
    <w:p>
      <w:pPr>
        <w:pStyle w:val="ListBullet"/>
      </w:pPr>
      <w:r>
        <w:t>Le metriche tariffarie e di rendimento restano di competenza della struttura: questo piano non tocca prezzi e listini se non come vetrina.</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r>
        <w:t>La clientela reale di Hotel Letizia parla già con chiarezza: famiglia e coppia coprono insieme la quasi totalità della base ospiti, mentre fiere/eventi restano un sotto-segmento marginale nei comportamenti effettivi nonostante il peso dato loro sul sito. Il piano comunicativo va costruito su questa gerarchia reale, non su quella dichiarata: famiglia come priorità assoluta, coppia come secondo pilastro con un messaggio proprio e non riciclato, business/fiere trattato come presidio leggero e opportunistico. Per ciascun segmento il messaggio deve usare il lessico di prodotto della riviera — formule di trattamento, piano famiglia, spiaggia inclusa, book early — perché è quello che intercetta davvero la domanda e distingue un'offerta da una descrizione generica.</w:t>
      </w:r>
    </w:p>
    <w:p>
      <w:pPr>
        <w:spacing w:before="160" w:after="40"/>
      </w:pPr>
      <w:r>
        <w:rPr>
          <w:b/>
          <w:color w:val="2F5D62"/>
          <w:sz w:val="24"/>
        </w:rPr>
        <w:t>Obiettivi misurabili</w:t>
      </w:r>
    </w:p>
    <w:p>
      <w:pPr>
        <w:pStyle w:val="ListBullet"/>
      </w:pPr>
      <w:r>
        <w:t>Pubblicare entro la riapertura una pagina/sezione famiglia con lessico di prodotto esplicito (formula, piano bambini per fascia d'età, spiaggia inclusa, book early)</w:t>
      </w:r>
    </w:p>
    <w:p>
      <w:pPr>
        <w:pStyle w:val="ListBullet"/>
      </w:pPr>
      <w:r>
        <w:t>Pubblicare un messaggio dedicato alla coppia distinto da quello famiglia, oggi assente come pacchetto specifico</w:t>
      </w:r>
    </w:p>
    <w:p>
      <w:pPr>
        <w:pStyle w:val="ListBullet"/>
      </w:pPr>
      <w:r>
        <w:t>Impostare un processo di raccolta contatti per segmento (obiettivo di processo: la baseline su CRM/loyalty non è disponibile — v. sez. 06)</w:t>
      </w:r>
    </w:p>
    <w:p>
      <w:pPr>
        <w:spacing w:before="160" w:after="40"/>
      </w:pPr>
      <w:r>
        <w:rPr>
          <w:b/>
          <w:color w:val="2F5D62"/>
          <w:sz w:val="24"/>
        </w:rPr>
        <w:t>Azioni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Quota reale</w:t>
            </w:r>
          </w:p>
        </w:tc>
        <w:tc>
          <w:tcPr>
            <w:tcW w:type="dxa" w:w="2160"/>
            <w:shd w:val="clear" w:color="auto" w:fill="2F5D62"/>
          </w:tcPr>
          <w:p>
            <w:r>
              <w:rPr>
                <w:b/>
                <w:color w:val="FFFFFF"/>
                <w:sz w:val="19"/>
              </w:rPr>
              <w:t>Messaggio chiave</w:t>
            </w:r>
          </w:p>
        </w:tc>
        <w:tc>
          <w:tcPr>
            <w:tcW w:type="dxa" w:w="2160"/>
            <w:shd w:val="clear" w:color="auto" w:fill="2F5D62"/>
          </w:tcPr>
          <w:p>
            <w:r>
              <w:rPr>
                <w:b/>
                <w:color w:val="FFFFFF"/>
                <w:sz w:val="19"/>
              </w:rPr>
              <w:t>Lead time (contesto)</w:t>
            </w:r>
          </w:p>
        </w:tc>
      </w:tr>
      <w:tr>
        <w:tc>
          <w:tcPr>
            <w:tcW w:type="dxa" w:w="2160"/>
          </w:tcPr>
          <w:p>
            <w:r>
              <w:rPr>
                <w:sz w:val="19"/>
              </w:rPr>
              <w:t>Famiglia con bambini</w:t>
            </w:r>
          </w:p>
        </w:tc>
        <w:tc>
          <w:tcPr>
            <w:tcW w:type="dxa" w:w="2160"/>
          </w:tcPr>
          <w:p>
            <w:r>
              <w:rPr>
                <w:sz w:val="19"/>
              </w:rPr>
              <w:t>56%</w:t>
            </w:r>
          </w:p>
        </w:tc>
        <w:tc>
          <w:tcPr>
            <w:tcW w:type="dxa" w:w="2160"/>
          </w:tcPr>
          <w:p>
            <w:r>
              <w:rPr>
                <w:sz w:val="19"/>
              </w:rPr>
              <w:t>Mezza pensione o all inclusive con piano famiglia per fasce d'età, spiaggia inclusa (un ombrellone e due lettini), animazione in spiaggia, book early per chi prenota in anticipo</w:t>
            </w:r>
          </w:p>
        </w:tc>
        <w:tc>
          <w:tcPr>
            <w:tcW w:type="dxa" w:w="2160"/>
          </w:tcPr>
          <w:p>
            <w:r>
              <w:rPr>
                <w:sz w:val="19"/>
              </w:rPr>
              <w:t>Prenotazione tipicamente pianificata con mesi di anticipo per l'alta stagione</w:t>
            </w:r>
          </w:p>
        </w:tc>
      </w:tr>
      <w:tr>
        <w:tc>
          <w:tcPr>
            <w:tcW w:type="dxa" w:w="2160"/>
            <w:shd w:val="clear" w:color="auto" w:fill="EEF2F1"/>
          </w:tcPr>
          <w:p>
            <w:r>
              <w:rPr>
                <w:sz w:val="19"/>
              </w:rPr>
              <w:t>Coppia</w:t>
            </w:r>
          </w:p>
        </w:tc>
        <w:tc>
          <w:tcPr>
            <w:tcW w:type="dxa" w:w="2160"/>
            <w:shd w:val="clear" w:color="auto" w:fill="EEF2F1"/>
          </w:tcPr>
          <w:p>
            <w:r>
              <w:rPr>
                <w:sz w:val="19"/>
              </w:rPr>
              <w:t>34%</w:t>
            </w:r>
          </w:p>
        </w:tc>
        <w:tc>
          <w:tcPr>
            <w:tcW w:type="dxa" w:w="2160"/>
            <w:shd w:val="clear" w:color="auto" w:fill="EEF2F1"/>
          </w:tcPr>
          <w:p>
            <w:r>
              <w:rPr>
                <w:sz w:val="19"/>
              </w:rPr>
              <w:t>Escape mare breve con cucina romagnola fatta in casa come esperienza, formula flessibile, spiaggia a un minuto a piedi</w:t>
            </w:r>
          </w:p>
        </w:tc>
        <w:tc>
          <w:tcPr>
            <w:tcW w:type="dxa" w:w="2160"/>
            <w:shd w:val="clear" w:color="auto" w:fill="EEF2F1"/>
          </w:tcPr>
          <w:p>
            <w:r>
              <w:rPr>
                <w:sz w:val="19"/>
              </w:rPr>
              <w:t>Finestra più breve e più spontanea rispetto alla famiglia</w:t>
            </w:r>
          </w:p>
        </w:tc>
      </w:tr>
      <w:tr>
        <w:tc>
          <w:tcPr>
            <w:tcW w:type="dxa" w:w="2160"/>
          </w:tcPr>
          <w:p>
            <w:r>
              <w:rPr>
                <w:sz w:val="19"/>
              </w:rPr>
              <w:t>Gruppi di amici</w:t>
            </w:r>
          </w:p>
        </w:tc>
        <w:tc>
          <w:tcPr>
            <w:tcW w:type="dxa" w:w="2160"/>
          </w:tcPr>
          <w:p>
            <w:r>
              <w:rPr>
                <w:sz w:val="19"/>
              </w:rPr>
              <w:t>5%</w:t>
            </w:r>
          </w:p>
        </w:tc>
        <w:tc>
          <w:tcPr>
            <w:tcW w:type="dxa" w:w="2160"/>
          </w:tcPr>
          <w:p>
            <w:r>
              <w:rPr>
                <w:sz w:val="19"/>
              </w:rPr>
              <w:t>Presidio leggero: stessa offerta famiglia/coppia senza pacchetto dedicato</w:t>
            </w:r>
          </w:p>
        </w:tc>
        <w:tc>
          <w:tcPr>
            <w:tcW w:type="dxa" w:w="2160"/>
          </w:tcPr>
          <w:p>
            <w:r>
              <w:rPr>
                <w:sz w:val="19"/>
              </w:rPr>
              <w:t>Non prioritario in questa fase</w:t>
            </w:r>
          </w:p>
        </w:tc>
      </w:tr>
      <w:tr>
        <w:tc>
          <w:tcPr>
            <w:tcW w:type="dxa" w:w="2160"/>
            <w:shd w:val="clear" w:color="auto" w:fill="EEF2F1"/>
          </w:tcPr>
          <w:p>
            <w:r>
              <w:rPr>
                <w:sz w:val="19"/>
              </w:rPr>
              <w:t>Fiere/eventi (business 3B)</w:t>
            </w:r>
          </w:p>
        </w:tc>
        <w:tc>
          <w:tcPr>
            <w:tcW w:type="dxa" w:w="2160"/>
            <w:shd w:val="clear" w:color="auto" w:fill="EEF2F1"/>
          </w:tcPr>
          <w:p>
            <w:r>
              <w:rPr>
                <w:sz w:val="19"/>
              </w:rPr>
              <w:t>2%</w:t>
            </w:r>
          </w:p>
        </w:tc>
        <w:tc>
          <w:tcPr>
            <w:tcW w:type="dxa" w:w="2160"/>
            <w:shd w:val="clear" w:color="auto" w:fill="EEF2F1"/>
          </w:tcPr>
          <w:p>
            <w:r>
              <w:rPr>
                <w:sz w:val="19"/>
              </w:rPr>
              <w:t>Presidio opportunistico solo sulle fiere che cadono nel periodo di apertura</w:t>
            </w:r>
          </w:p>
        </w:tc>
        <w:tc>
          <w:tcPr>
            <w:tcW w:type="dxa" w:w="2160"/>
            <w:shd w:val="clear" w:color="auto" w:fill="EEF2F1"/>
          </w:tcPr>
          <w:p>
            <w:r>
              <w:rPr>
                <w:sz w:val="19"/>
              </w:rPr>
              <w:t>Coincide con il calendario fieristico, v. sez. 05</w:t>
            </w:r>
          </w:p>
        </w:tc>
      </w:tr>
    </w:tbl>
    <w:p>
      <w:pPr>
        <w:spacing w:after="160"/>
      </w:pPr>
    </w:p>
    <w:p>
      <w:r>
        <w:t>La famiglia pesa più della metà della clientela reale ma il sito non traduce questo peso in un'offerta scritta nel lessico corretto: senza formula di trattamento dichiarata, piano bambini per fascia d'età e spiaggia inclusa nel testo, il messaggio resta descrittivo e non aggancia la domanda che cerca esattamente quei termini. La priorità operativa è quindi riscrivere la pagina famiglia (e le offerte collegate) nel lessico di prodotto, con il book early come leva per chi prenota prima dell'apertura della stagione — non come sconto generico ma come condizione esplicita legata all'anticipo.</w:t>
      </w:r>
    </w:p>
    <w:p>
      <w:r>
        <w:t>La coppia copre oltre un terzo della clientela con sentiment molto positivo, ma oggi condivide la stessa pagina offerte generica della famiglia: un messaggio unico appiattisce due logiche di acquisto diverse (soggiorno breve e spontaneo la coppia, pianificazione lunga la famiglia). Separare il messaggio coppia — centrato su cucina romagnola, vicinanza al mare e formula flessibile, senza il linguaggio family — permette di parlare a entrambi i segmenti senza diluire nessuno dei due.</w:t>
      </w:r>
    </w:p>
    <w:p>
      <w:r>
        <w:t>Il sotto-segmento fiere/eventi, pur presidiato con numerose pagine sul sito, resta marginale nei comportamenti reali e va ridimensionato nelle priorità editoriali: mantenere solo la copertura delle fiere che cadono nel periodo di apertura della struttura (il dettaglio calendario è in sez. 05), evitando di investire ulteriore produzione di contenuto su un segmento che il piano complessivo tratta come coverage, non come traino.</w:t>
      </w:r>
    </w:p>
    <w:p>
      <w:r>
        <w:t>La relazione personale con i gestori, già citata nelle recensioni con nomi propri, è un asset trasferibile sia al messaggio famiglia sia a quello coppia: va usata come elemento di continuità del brand (il tono familiare rimane unico) mentre il contenuto dell'offerta si differenzia per segmento.</w:t>
      </w:r>
    </w:p>
    <w:p>
      <w:pPr>
        <w:spacing w:before="160" w:after="40"/>
      </w:pPr>
      <w:r>
        <w:rPr>
          <w:b/>
          <w:color w:val="2F5D62"/>
          <w:sz w:val="24"/>
        </w:rPr>
        <w:t>KPI</w:t>
      </w:r>
    </w:p>
    <w:p>
      <w:pPr>
        <w:pStyle w:val="ListBullet"/>
      </w:pPr>
      <w:r>
        <w:t>Indicatori e orizzonti di dettaglio in sez. 06 — Measurement</w:t>
      </w:r>
    </w:p>
    <w:p>
      <w:pPr>
        <w:spacing w:before="160" w:after="40"/>
      </w:pPr>
      <w:r>
        <w:rPr>
          <w:b/>
          <w:color w:val="2F5D62"/>
          <w:sz w:val="24"/>
        </w:rPr>
        <w:t>Note esecutive</w:t>
      </w:r>
    </w:p>
    <w:p>
      <w:pPr>
        <w:pStyle w:val="ListBullet"/>
      </w:pPr>
      <w:r>
        <w:t>Le quote segmento (56% famiglia, 34% coppia, 5% gruppi, 2% business) sono quelle del dato di reputazione: usarle come riferimento di peso editoriale, non come target da raggiungere</w:t>
      </w:r>
    </w:p>
    <w:p>
      <w:pPr>
        <w:pStyle w:val="ListBullet"/>
      </w:pPr>
      <w:r>
        <w:t>Le finestre di prenotazione per segmento sono contesto narrativo (ipotesi da validare, v. sez. 08), non vincoli operativi: il calendario operativo vero è nella roadmap di sez. 05</w:t>
      </w:r>
    </w:p>
    <w:p>
      <w:pPr>
        <w:pStyle w:val="ListBullet"/>
      </w:pPr>
      <w:r>
        <w:t>Il messaggio per i gruppi di amici non richiede un pacchetto dedicato in questa fase: priorità a famiglia e coppia</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Non valutabile</w:t>
            </w:r>
          </w:p>
        </w:tc>
        <w:tc>
          <w:tcPr>
            <w:tcW w:type="dxa" w:w="1728"/>
          </w:tcPr>
          <w:p>
            <w:r>
              <w:rPr>
                <w:sz w:val="19"/>
              </w:rPr>
              <w:t>bassa</w:t>
            </w:r>
          </w:p>
        </w:tc>
        <w:tc>
          <w:tcPr>
            <w:tcW w:type="dxa" w:w="1728"/>
          </w:tcPr>
          <w:p>
            <w:r>
              <w:rPr>
                <w:sz w:val="19"/>
              </w:rPr>
              <w:t>Domanda di ricerca non misurata in questa diagnosi (nessun keyword ledger).</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Non valutabile</w:t>
            </w:r>
          </w:p>
        </w:tc>
        <w:tc>
          <w:tcPr>
            <w:tcW w:type="dxa" w:w="1728"/>
            <w:shd w:val="clear" w:color="auto" w:fill="EEF2F1"/>
          </w:tcPr>
          <w:p>
            <w:r>
              <w:rPr>
                <w:sz w:val="19"/>
              </w:rPr>
              <w:t>bassa</w:t>
            </w:r>
          </w:p>
        </w:tc>
        <w:tc>
          <w:tcPr>
            <w:tcW w:type="dxa" w:w="1728"/>
            <w:shd w:val="clear" w:color="auto" w:fill="EEF2F1"/>
          </w:tcPr>
          <w:p>
            <w:r>
              <w:rPr>
                <w:sz w:val="19"/>
              </w:rPr>
              <w:t>Competizione della domanda non misurata in questa diagnosi (nessun keyword ledger).</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Parità tariffaria non garantita.</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Canale diretto: consolidare la conversione e spingere la quota diretta. La pagina offerte esiste (https://www.hotelletizia.net/offerte-vacanze/): ottimizzarla (schema Offer, CTA, prenota-prima).</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3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definire le finestre col picco stagionale.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Non valutabile</w:t>
            </w:r>
          </w:p>
        </w:tc>
        <w:tc>
          <w:tcPr>
            <w:tcW w:type="dxa" w:w="1728"/>
            <w:shd w:val="clear" w:color="auto" w:fill="EEF2F1"/>
          </w:tcPr>
          <w:p>
            <w:r>
              <w:rPr>
                <w:sz w:val="19"/>
              </w:rPr>
              <w:t>bassa</w:t>
            </w:r>
          </w:p>
        </w:tc>
        <w:tc>
          <w:tcPr>
            <w:tcW w:type="dxa" w:w="1728"/>
            <w:shd w:val="clear" w:color="auto" w:fill="EEF2F1"/>
          </w:tcPr>
          <w:p>
            <w:r>
              <w:rPr>
                <w:sz w:val="19"/>
              </w:rPr>
              <w:t>Composizione della clientela non misurata: economia dei ripetenti non stimabile.</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Mantenere</w:t>
            </w:r>
          </w:p>
        </w:tc>
        <w:tc>
          <w:tcPr>
            <w:tcW w:type="dxa" w:w="1728"/>
          </w:tcPr>
          <w:p>
            <w:r>
              <w:rPr>
                <w:sz w:val="19"/>
              </w:rPr>
              <w:t>bassa</w:t>
            </w:r>
          </w:p>
        </w:tc>
        <w:tc>
          <w:tcPr>
            <w:tcW w:type="dxa" w:w="1728"/>
          </w:tcPr>
          <w:p>
            <w:r>
              <w:rPr>
                <w:sz w:val="19"/>
              </w:rPr>
              <w:t>Presenza DACH non rilevante.</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Non valutabile</w:t>
            </w:r>
          </w:p>
        </w:tc>
        <w:tc>
          <w:tcPr>
            <w:tcW w:type="dxa" w:w="1728"/>
            <w:shd w:val="clear" w:color="auto" w:fill="EEF2F1"/>
          </w:tcPr>
          <w:p>
            <w:r>
              <w:rPr>
                <w:sz w:val="19"/>
              </w:rPr>
              <w:t>bassa</w:t>
            </w:r>
          </w:p>
        </w:tc>
        <w:tc>
          <w:tcPr>
            <w:tcW w:type="dxa" w:w="1728"/>
            <w:shd w:val="clear" w:color="auto" w:fill="EEF2F1"/>
          </w:tcPr>
          <w:p>
            <w:r>
              <w:rPr>
                <w:sz w:val="19"/>
              </w:rPr>
              <w:t>Composizione della clientela (tipi di ospite) non misurata in questa diagnosi.</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Attivare</w:t>
            </w:r>
          </w:p>
        </w:tc>
        <w:tc>
          <w:tcPr>
            <w:tcW w:type="dxa" w:w="1728"/>
          </w:tcPr>
          <w:p>
            <w:r>
              <w:rPr>
                <w:sz w:val="19"/>
              </w:rPr>
              <w:t>media</w:t>
            </w:r>
          </w:p>
        </w:tc>
        <w:tc>
          <w:tcPr>
            <w:tcW w:type="dxa" w:w="1728"/>
          </w:tcPr>
          <w:p>
            <w:r>
              <w:rPr>
                <w:sz w:val="19"/>
              </w:rPr>
              <w:t>Schema struttura presente ma senza indirizzo strutturato (NAP): completare il markup LocalBusiness/PostalAddress e allineare la scheda locale.</w:t>
            </w:r>
          </w:p>
        </w:tc>
        <w:tc>
          <w:tcPr>
            <w:tcW w:type="dxa" w:w="1728"/>
          </w:tcPr>
          <w:p>
            <w:r>
              <w:rPr>
                <w:sz w:val="19"/>
              </w:rPr>
              <w:t>—</w:t>
            </w:r>
          </w:p>
        </w:tc>
      </w:tr>
    </w:tbl>
    <w:p>
      <w:pPr>
        <w:spacing w:after="160"/>
      </w:pPr>
    </w:p>
    <w:p>
      <w:pPr>
        <w:spacing w:before="160" w:after="40"/>
      </w:pPr>
      <w:r>
        <w:rPr>
          <w:b/>
          <w:color w:val="2F5D62"/>
          <w:sz w:val="24"/>
        </w:rPr>
        <w:t>Matrice di canale (decision record)</w:t>
      </w:r>
    </w:p>
    <w:p>
      <w:r>
        <w:t>La matrice indica una priorità duplice e non alternativa: consolidare il presidio sulle OTA come canale gestito, mentre si costruisce in parallelo la capacità del diretto di intercettare chi già conosce la struttura o la cerca per destinazione. Non è una scelta tra i due mondi ma una sequenza di dipendenze da sciogliere: prima la coerenza dei dati di base (descrizioni, foto, parità), poi l'investimento promozionale mirato. Il metasearch e il canale fiere restano fuori dal perimetro immediato non per scarsa rilevanza teorica, ma perché mancano le condizioni abilitanti — rispettivamente la verifica di parità tariffaria e la coincidenza tra calendario eventi e finestra di apertura — che la sezione 05 definisce nel dettaglio.</w:t>
      </w:r>
    </w:p>
    <w:p>
      <w:pPr>
        <w:spacing w:before="160" w:after="40"/>
      </w:pPr>
      <w:r>
        <w:rPr>
          <w:b/>
          <w:color w:val="2F5D62"/>
          <w:sz w:val="24"/>
        </w:rPr>
        <w:t>Obiettivi misurabili</w:t>
      </w:r>
    </w:p>
    <w:p>
      <w:pPr>
        <w:pStyle w:val="ListBullet"/>
      </w:pPr>
      <w:r>
        <w:t>Verificare e documentare la parità tariffaria tra sito diretto e principali OTA prima di attivare budget su metasearch (obiettivo di processo)</w:t>
      </w:r>
    </w:p>
    <w:p>
      <w:pPr>
        <w:pStyle w:val="ListBullet"/>
      </w:pPr>
      <w:r>
        <w:t>Pubblicare contenuti dedicati ai cluster di ricerca non-brand identificati, con relativo arricchimento dei dati strutturati di pagina</w:t>
      </w:r>
    </w:p>
    <w:p>
      <w:pPr>
        <w:pStyle w:val="ListBullet"/>
      </w:pPr>
      <w:r>
        <w:t>Ripetere l'audit di visibilità sugli assistenti AI con copertura completa dei tre assistenti prima di investire in contenuti dedicati all'AEO (obiettivo di processo)</w:t>
      </w:r>
    </w:p>
    <w:p>
      <w:pPr>
        <w:pStyle w:val="ListBullet"/>
      </w:pPr>
      <w:r>
        <w:t>Attivare la raccolta sistematica di contatti post-soggiorno come base del canale email/CRM (v. anche sez. 04)</w:t>
      </w:r>
    </w:p>
    <w:p>
      <w:pPr>
        <w:spacing w:before="160" w:after="40"/>
      </w:pPr>
      <w:r>
        <w:rPr>
          <w:b/>
          <w:color w:val="2F5D62"/>
          <w:sz w:val="24"/>
        </w:rPr>
        <w:t>Azioni</w:t>
      </w:r>
    </w:p>
    <w:p>
      <w:r>
        <w:t>Il canale OTA resta oggi il principale veicolo attraverso cui la domanda incontra la struttura, e questo impone di trattarlo come un asset da curare e non da ridurre: ogni scheda deve restituire la stessa coerenza di informazioni (tipologie di camere, servizi, foto aggiornate) che il sito diretto offre, perché un disallineamento tra i due canali indebolisce la fiducia dell'ospite in fase di confronto. Il presidio delle schede OTA è quindi la prima azione, a basso sforzo e alto impatto immediato.</w:t>
      </w:r>
    </w:p>
    <w:p>
      <w:r>
        <w:t>Il diretto non si costruisce spostando budget dalle OTA, ma costruendo le condizioni che lo rendono competitivo: la verifica di parità tariffaria è il passo che precede qualsiasi investimento promozionale sul sito o sul booking engine, perché un prezzo diretto meno conveniente di quello OTA vanifica in partenza ogni sforzo di comunicazione. Finché questa verifica non è fatta, la spinta sul diretto resta limitata alla cura dei contenuti e dell'esperienza di prenotazione, non alla promozione a pagamento.</w:t>
      </w:r>
    </w:p>
    <w:p>
      <w:r>
        <w:t>Il gap di autorità organica su query non a marchio è l'area dove l'azione ha il ritorno più diretto e meno condizionato da terzi: significa pubblicare o rafforzare le pagine che rispondono a come un potenziale ospite cerca la vacanza (formula, zona, servizi per bambini) con un linguaggio aderente a quello della domanda reale, arricchendo i dati strutturati già presenti su una parte del sito. Questo lavoro si innesta sul cantiere digitale già definito nella roadmap (v. sez. 05) e precede, non segue, l'apertura stagionale.</w:t>
      </w:r>
    </w:p>
    <w:p>
      <w:r>
        <w:t>La visibilità sugli assistenti AI è oggi un segnale parziale: l'assenza registrata sulle query famiglia su un solo assistente, con gli altri due non misurabili per un problema tecnico di rilevazione, non autorizza né un allarme né un investimento immediato mirato. L'azione corretta è ripetere l'audit con copertura piena, e nel frattempo lavorare sulla causa comune a SEO e AEO: contenuti factual più ricchi e dati strutturati più completi, che servono entrambi i canali senza bisogno di una scelta preventiva tra l'uno e l'altro.</w:t>
      </w:r>
    </w:p>
    <w:p>
      <w:r>
        <w:t>Il canale email/CRM parte da zero in termini di struttura ma da una base qualitativa già solida: la relazione personale con gli ospiti, visibile nelle recensioni che citano i gestori per nome, è esattamente il materiale su cui si costruisce un programma di riattivazione. L'azione prioritaria è la raccolta dei contatti, soprattutto per chi prenota tramite OTA e quindi non lascia oggi alcun recapito diretto alla struttura; il dettaglio di sequenza e tempistica è nella sezione 04 e nella roadmap.</w:t>
      </w:r>
    </w:p>
    <w:p>
      <w:r>
        <w:t>Il canale fiere resta classificato come non prioritario non per assenza di valore della domanda in sé, ma per un disallineamento strutturale già rilevato: la struttura dedica pagine a eventi e fiere che in larga parte cadono fuori dalla finestra di apertura. Investire oggi contenuti e budget su questo fronte, prima di risolvere la domanda di fondo sul calendario di apertura, rischierebbe di consolidare un posizionamento che la struttura non è nella condizione di onorare. Il canale si riattiva solo se la roadmap individua eventi compatibili con i mesi di apertura.</w:t>
      </w:r>
    </w:p>
    <w:p>
      <w:pPr>
        <w:spacing w:before="160" w:after="40"/>
      </w:pPr>
      <w:r>
        <w:rPr>
          <w:b/>
          <w:color w:val="2F5D62"/>
          <w:sz w:val="24"/>
        </w:rPr>
        <w:t>KPI</w:t>
      </w:r>
    </w:p>
    <w:p>
      <w:pPr>
        <w:pStyle w:val="ListBullet"/>
      </w:pPr>
      <w:r>
        <w:t>I KPI numerici di canale (baseline, target o obiettivo di processo) sono riportati in sez. 06: qui si richiama solo la logica di priorità, non i valori.</w:t>
      </w:r>
    </w:p>
    <w:p>
      <w:pPr>
        <w:spacing w:before="160" w:after="40"/>
      </w:pPr>
      <w:r>
        <w:rPr>
          <w:b/>
          <w:color w:val="2F5D62"/>
          <w:sz w:val="24"/>
        </w:rPr>
        <w:t>Note esecutive</w:t>
      </w:r>
    </w:p>
    <w:p>
      <w:pPr>
        <w:pStyle w:val="ListBullet"/>
      </w:pPr>
      <w:r>
        <w:t>Nessuna azione promozionale a pagamento sul metasearch finché la parità tariffaria non è verificata: è una dipendenza bloccante, non una preferenza.</w:t>
      </w:r>
    </w:p>
    <w:p>
      <w:pPr>
        <w:pStyle w:val="ListBullet"/>
      </w:pPr>
      <w:r>
        <w:t>L'arricchimento dei dati strutturati (SEO e AEO) è un lavoro unico che serve entrambi i canali: non va duplicato in due iniziative separate.</w:t>
      </w:r>
    </w:p>
    <w:p>
      <w:pPr>
        <w:pStyle w:val="ListBullet"/>
      </w:pPr>
      <w:r>
        <w:t>La cura delle schede OTA e la costruzione del diretto procedono in parallelo, non in sequenza: non si tratta di sostituire un canale con l'altro.</w:t>
      </w:r>
    </w:p>
    <w:p>
      <w:pPr>
        <w:pStyle w:val="ListBullet"/>
      </w:pPr>
      <w:r>
        <w:t>Il canale fiere resta monitorato ma non attivato: la decisione di riaprirlo dipende dal calendario eventi trattato in sez. 05.</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Per Hotel Letizia la distribuzione non si gioca sull'invenzione di mercati esteri, ma sul governo ordinato di ciò che già esiste: una clientela quasi del tutto italiana, una presenza OTA (Booking, Agoda, Hotels.com) che oggi svolge correttamente il suo ruolo di scoperta e riempimento, e un canale diretto ancora privo di infrastruttura di raccolta contatti (v. sez. 03). Senza un mix lingue/mercati esteri rilevato nei dati e senza una tabella di connettività voli in testa a questa sezione, l'azione corretta è rafforzare la qualità del presidio sulle piattaforme esistenti e trattare un eventuale allargamento a mercati esteri come test mirato, non come pilastro del piano.</w:t>
      </w:r>
    </w:p>
    <w:p>
      <w:pPr>
        <w:spacing w:before="160" w:after="40"/>
      </w:pPr>
      <w:r>
        <w:rPr>
          <w:b/>
          <w:color w:val="2F5D62"/>
          <w:sz w:val="24"/>
        </w:rPr>
        <w:t>Obiettivi misurabili</w:t>
      </w:r>
    </w:p>
    <w:p>
      <w:pPr>
        <w:pStyle w:val="ListBullet"/>
      </w:pPr>
      <w:r>
        <w:t>Completare entro la riapertura l'audit di coerenza NAP (nome, indirizzo, telefono) e contenuti tra sito, Google Business Profile e le schede sui portali OTA e sul portale di destinazione territoriale</w:t>
      </w:r>
    </w:p>
    <w:p>
      <w:pPr>
        <w:pStyle w:val="ListBullet"/>
      </w:pPr>
      <w:r>
        <w:t>Portare a 100% la copertura fotografica aggiornata (camere, spiaggia, ristorante) sulle schede Booking, Agoda e Hotels.com, oggi non misurata</w:t>
      </w:r>
    </w:p>
    <w:p>
      <w:pPr>
        <w:pStyle w:val="ListBullet"/>
      </w:pPr>
      <w:r>
        <w:t>Impostare il tracciamento della provenienza prenotazioni per canale (obiettivo di processo: la baseline oggi non è disponibile)</w:t>
      </w:r>
    </w:p>
    <w:p>
      <w:pPr>
        <w:spacing w:before="160" w:after="40"/>
      </w:pPr>
      <w:r>
        <w:rPr>
          <w:b/>
          <w:color w:val="2F5D62"/>
          <w:sz w:val="24"/>
        </w:rPr>
        <w:t>Azioni</w:t>
      </w:r>
    </w:p>
    <w:p>
      <w:pPr>
        <w:pStyle w:val="ListBullet"/>
      </w:pPr>
      <w:r>
        <w:t>Il profilo recensioni disponibile proviene quasi interamente da Booking e TripAdvisor, con Google Maps segnalato come fonte mancante: questo significa che oggi non si ha visibilità su una delle superfici di scoperta più usate nella fase di valutazione rapida, in particolare dal segmento famiglia e dal sotto-caso business non gestito. L'azione è completare e curare il profilo Google Business Profile (categorizzazione corretta, foto aggiornate, gestione delle domande pubbliche) e attivare la raccolta di recensioni anche su questo canale, così da rendere comparabile e governabile l'intero fronte OTA/Google accanto a Booking.</w:t>
      </w:r>
    </w:p>
    <w:p>
      <w:pPr>
        <w:pStyle w:val="ListBullet"/>
      </w:pPr>
      <w:r>
        <w:t>Le OTA restano oggi il canale attraverso cui la struttura viene scoperta e riempita nei periodi di minore domanda diretta: non vanno contrastate, vanno gestite come un canale a tutti gli effetti, con lo stesso livello di cura riservato al sito. L'azione è un controllo trimestrale di qualità delle schede su Booking, Agoda e Hotels.com (foto, descrizione, servizi elencati, risposta alle recensioni), allineato alle stesse informazioni di prodotto usate su sito e GBP, per evitare disallineamenti che penalizzano sia la conversione sia la citabilità da parte di motori di ricerca e assistenti AI.</w:t>
      </w:r>
    </w:p>
    <w:p>
      <w:pPr>
        <w:pStyle w:val="ListBullet"/>
      </w:pPr>
      <w:r>
        <w:t>Il portale di destinazione territoriale individuato nel presidio di canale mostra un'autorità di dominio e un overlap di keyword significativi: è un punto di ingresso reale per chi cerca la zona prima ancora di cercare l'hotel per nome. L'azione è verificare che la scheda struttura su questo portale sia presente, completa e aggiornata (descrizione, foto, link al sito, contatti), così da intercettare questa domanda locale e indirizzarla, dove possibile, verso il booking diretto o almeno verso una scelta informata.</w:t>
      </w:r>
    </w:p>
    <w:p>
      <w:pPr>
        <w:pStyle w:val="ListBullet"/>
      </w:pPr>
      <w:r>
        <w:t>Non sono disponibili dati su mix lingue, mercati esteri o connettività voli per quest'anno: in assenza di un segnale di domanda estera validato, non è corretto costruire campagne o contenuti multilingua come priorità di budget. L'azione è trattare l'eventuale apertura a un mercato estero come ipotesi da testare solo dopo aver raccolto il dato reale (distribuzione lingue recensioni, lingua richieste dirette), evitando investimenti su mercati non confermati.</w:t>
      </w:r>
    </w:p>
    <w:p>
      <w:pPr>
        <w:pStyle w:val="ListBullet"/>
      </w:pPr>
      <w:r>
        <w:t>Mancano dati su rate parity tra sito diretto e OTA e su presenza in metasearch (Google Hotel Ads, Trivago, Kayak): senza questa verifica, il rischio è che il prezzo diretto risulti meno competitivo rispetto alle OTA proprio nei momenti in cui si vuole spingere la prenotazione diretta. L'azione è una verifica periodica di parità tariffaria tra booking engine diretto e principali OTA, propedeutica a qualunque investimento su metasearch o su campagne di spinta al diretto.</w:t>
      </w:r>
    </w:p>
    <w:p>
      <w:pPr>
        <w:spacing w:before="160" w:after="40"/>
      </w:pPr>
      <w:r>
        <w:rPr>
          <w:b/>
          <w:color w:val="2F5D62"/>
          <w:sz w:val="24"/>
        </w:rPr>
        <w:t>KPI</w:t>
      </w:r>
    </w:p>
    <w:p>
      <w:pPr>
        <w:pStyle w:val="ListBullet"/>
      </w:pPr>
      <w:r>
        <w:t>V. sez. 06 per i KPI numerici di distribuzione (direct-booking ratio, CoA/CAC per canale, copertura e qualità dei profili OTA/GBP): qui si definiscono solo le azioni che li alimentano.</w:t>
      </w:r>
    </w:p>
    <w:p>
      <w:pPr>
        <w:spacing w:before="160" w:after="40"/>
      </w:pPr>
      <w:r>
        <w:rPr>
          <w:b/>
          <w:color w:val="2F5D62"/>
          <w:sz w:val="24"/>
        </w:rPr>
        <w:t>Note esecutive</w:t>
      </w:r>
    </w:p>
    <w:p>
      <w:pPr>
        <w:pStyle w:val="ListBullet"/>
      </w:pPr>
      <w:r>
        <w:t>Le metriche tariffarie e di rendimento (listini, formule di prezzo per camera) restano di competenza della struttura: questo piano tratta la parità tariffaria solo come verifica di coerenza tra canali, non come leva di pricing.</w:t>
      </w:r>
    </w:p>
    <w:p>
      <w:pPr>
        <w:pStyle w:val="ListBullet"/>
      </w:pPr>
      <w:r>
        <w:t>Il presidio OTA descritto qui è coerente con la priorità sul diretto definita in sez. 03: le OTA restano canale di acquisizione da governare, non un fronte da ridurre a priori in assenza di una baseline reale.</w:t>
      </w:r>
    </w:p>
    <w:p>
      <w:pPr>
        <w:pStyle w:val="ListBullet"/>
      </w:pPr>
      <w:r>
        <w:t>Qualunque azione su un mercato estero resta subordinata alla raccolta del dato di mix lingue/provenienza (v. sez. 08 per l'input mancante): non va anticipata nella pianificazione editoriale o di budget di questa fase.</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giu, lug, ago, set.</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Cantiere (setup tecnico/contenuti)</w:t>
            </w:r>
          </w:p>
        </w:tc>
        <w:tc>
          <w:tcPr>
            <w:tcW w:type="dxa" w:w="2880"/>
          </w:tcPr>
          <w:p>
            <w:r>
              <w:rPr>
                <w:sz w:val="19"/>
              </w:rPr>
              <w:t>gen, feb, mar, apr, mag,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giu, lug, ago, set</w:t>
            </w:r>
          </w:p>
        </w:tc>
        <w:tc>
          <w:tcPr>
            <w:tcW w:type="dxa" w:w="2880"/>
            <w:shd w:val="clear" w:color="auto" w:fill="EEF2F1"/>
          </w:tcPr>
          <w:p>
            <w:r>
              <w:rPr>
                <w:sz w:val="19"/>
              </w:rPr>
              <w:t>a hotel aperto: l'hotel chiuso non si fotografa</w:t>
            </w:r>
          </w:p>
        </w:tc>
      </w:tr>
      <w:tr>
        <w:tc>
          <w:tcPr>
            <w:tcW w:type="dxa" w:w="2880"/>
          </w:tcPr>
          <w:p>
            <w:r>
              <w:rPr>
                <w:sz w:val="19"/>
              </w:rPr>
              <w:t>Fiere in stagione (gate business)</w:t>
            </w:r>
          </w:p>
        </w:tc>
        <w:tc>
          <w:tcPr>
            <w:tcW w:type="dxa" w:w="2880"/>
          </w:tcPr>
          <w:p>
            <w:r>
              <w:rPr>
                <w:sz w:val="19"/>
              </w:rPr>
              <w:t>World Ducati Week, Meeting di Rimini, Tecna</w:t>
            </w:r>
          </w:p>
        </w:tc>
        <w:tc>
          <w:tcPr>
            <w:tcW w:type="dxa" w:w="2880"/>
          </w:tcPr>
          <w:p>
            <w:r>
              <w:rPr>
                <w:sz w:val="19"/>
              </w:rPr>
              <w:t>eccezioni presidiabili: la domanda fiere fuori apertura resta 'non ora'</w:t>
            </w:r>
          </w:p>
        </w:tc>
      </w:tr>
      <w:tr>
        <w:tc>
          <w:tcPr>
            <w:tcW w:type="dxa" w:w="2880"/>
            <w:shd w:val="clear" w:color="auto" w:fill="EEF2F1"/>
          </w:tcPr>
          <w:p>
            <w:r>
              <w:rPr>
                <w:sz w:val="19"/>
              </w:rPr>
              <w:t>Picchi evento di destinazione</w:t>
            </w:r>
          </w:p>
        </w:tc>
        <w:tc>
          <w:tcPr>
            <w:tcW w:type="dxa" w:w="2880"/>
            <w:shd w:val="clear" w:color="auto" w:fill="EEF2F1"/>
          </w:tcPr>
          <w:p>
            <w:r>
              <w:rPr>
                <w:sz w:val="19"/>
              </w:rPr>
              <w:t>Notte Rosa (2026-06-19)</w:t>
            </w:r>
          </w:p>
        </w:tc>
        <w:tc>
          <w:tcPr>
            <w:tcW w:type="dxa" w:w="2880"/>
            <w:shd w:val="clear" w:color="auto" w:fill="EEF2F1"/>
          </w:tcPr>
          <w:p>
            <w:r>
              <w:rPr>
                <w:sz w:val="19"/>
              </w:rPr>
              <w:t>picchi di domanda weekend da nominare nella roadmap</w:t>
            </w:r>
          </w:p>
        </w:tc>
      </w:tr>
    </w:tbl>
    <w:p>
      <w:pPr>
        <w:spacing w:after="160"/>
      </w:pPr>
    </w:p>
    <w:p>
      <w:r>
        <w:t>Hotel Letizia è una struttura stagionale (archetipo seasonal, apertura ipotizzata indicativamente da maggio a settembre: dato da validare col cliente, non presente nella scheda) e la roadmap va letta su questa alternanza. Nei mesi di chiusura si apre il cantiere tecnico e di contenuto — recupero dell'autorità organica, arricchimento dei dati strutturati, attivazione della raccolta email, listino e pacchetti pronti prima dell'apertura della domanda estera — mai durante l'apertura, quando la priorità operativa assorbe la struttura. In apertura si raccoglie invece il materiale fotografico e si lavora la coda ravvicinata della domanda italiana, oltre alla gestione reputazionale corrente. Le fiere (Sigep, Ecomondo) cadono strutturalmente fuori dalla finestra di apertura: restano fuori dalla roadmap operativa di quest'anno, coerente con quanto già emerso in sede di posizionamento (sez. 01); gli eventi estivi coerenti con la stagione (sportivi, culturali) restano invece picchi di domanda weekend da presidiare in calendario.</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Obiettivo</w:t>
            </w:r>
          </w:p>
        </w:tc>
        <w:tc>
          <w:tcPr>
            <w:tcW w:type="dxa" w:w="2880"/>
            <w:shd w:val="clear" w:color="auto" w:fill="2F5D62"/>
          </w:tcPr>
          <w:p>
            <w:r>
              <w:rPr>
                <w:b/>
                <w:color w:val="FFFFFF"/>
                <w:sz w:val="19"/>
              </w:rPr>
              <w:t>Tipo</w:t>
            </w:r>
          </w:p>
        </w:tc>
        <w:tc>
          <w:tcPr>
            <w:tcW w:type="dxa" w:w="2880"/>
            <w:shd w:val="clear" w:color="auto" w:fill="2F5D62"/>
          </w:tcPr>
          <w:p>
            <w:r>
              <w:rPr>
                <w:b/>
                <w:color w:val="FFFFFF"/>
                <w:sz w:val="19"/>
              </w:rPr>
              <w:t>Finestra</w:t>
            </w:r>
          </w:p>
        </w:tc>
      </w:tr>
      <w:tr>
        <w:tc>
          <w:tcPr>
            <w:tcW w:type="dxa" w:w="2880"/>
          </w:tcPr>
          <w:p>
            <w:r>
              <w:rPr>
                <w:sz w:val="19"/>
              </w:rPr>
              <w:t>Chiudere il cantiere tecnico/contenuti (schema dati, pagine non-brand, raccolta email) prima della riapertura</w:t>
            </w:r>
          </w:p>
        </w:tc>
        <w:tc>
          <w:tcPr>
            <w:tcW w:type="dxa" w:w="2880"/>
          </w:tcPr>
          <w:p>
            <w:r>
              <w:rPr>
                <w:sz w:val="19"/>
              </w:rPr>
              <w:t>Processo</w:t>
            </w:r>
          </w:p>
        </w:tc>
        <w:tc>
          <w:tcPr>
            <w:tcW w:type="dxa" w:w="2880"/>
          </w:tcPr>
          <w:p>
            <w:r>
              <w:rPr>
                <w:sz w:val="19"/>
              </w:rPr>
              <w:t>Mesi di chiusura</w:t>
            </w:r>
          </w:p>
        </w:tc>
      </w:tr>
      <w:tr>
        <w:tc>
          <w:tcPr>
            <w:tcW w:type="dxa" w:w="2880"/>
            <w:shd w:val="clear" w:color="auto" w:fill="EEF2F1"/>
          </w:tcPr>
          <w:p>
            <w:r>
              <w:rPr>
                <w:sz w:val="19"/>
              </w:rPr>
              <w:t>Pubblicare il listino e i pacchetti famiglia/coppia in finestra bookable prima dell'apertura della domanda estera</w:t>
            </w:r>
          </w:p>
        </w:tc>
        <w:tc>
          <w:tcPr>
            <w:tcW w:type="dxa" w:w="2880"/>
            <w:shd w:val="clear" w:color="auto" w:fill="EEF2F1"/>
          </w:tcPr>
          <w:p>
            <w:r>
              <w:rPr>
                <w:sz w:val="19"/>
              </w:rPr>
              <w:t>Processo</w:t>
            </w:r>
          </w:p>
        </w:tc>
        <w:tc>
          <w:tcPr>
            <w:tcW w:type="dxa" w:w="2880"/>
            <w:shd w:val="clear" w:color="auto" w:fill="EEF2F1"/>
          </w:tcPr>
          <w:p>
            <w:r>
              <w:rPr>
                <w:sz w:val="19"/>
              </w:rPr>
              <w:t>Mesi di chiusura, a ridosso della riapertura</w:t>
            </w:r>
          </w:p>
        </w:tc>
      </w:tr>
      <w:tr>
        <w:tc>
          <w:tcPr>
            <w:tcW w:type="dxa" w:w="2880"/>
          </w:tcPr>
          <w:p>
            <w:r>
              <w:rPr>
                <w:sz w:val="19"/>
              </w:rPr>
              <w:t>Attivare la comunicazione di riapertura verso i contatti raccolti (ospiti abituali)</w:t>
            </w:r>
          </w:p>
        </w:tc>
        <w:tc>
          <w:tcPr>
            <w:tcW w:type="dxa" w:w="2880"/>
          </w:tcPr>
          <w:p>
            <w:r>
              <w:rPr>
                <w:sz w:val="19"/>
              </w:rPr>
              <w:t>Processo</w:t>
            </w:r>
          </w:p>
        </w:tc>
        <w:tc>
          <w:tcPr>
            <w:tcW w:type="dxa" w:w="2880"/>
          </w:tcPr>
          <w:p>
            <w:r>
              <w:rPr>
                <w:sz w:val="19"/>
              </w:rPr>
              <w:t>Prima della riapertura</w:t>
            </w:r>
          </w:p>
        </w:tc>
      </w:tr>
      <w:tr>
        <w:tc>
          <w:tcPr>
            <w:tcW w:type="dxa" w:w="2880"/>
            <w:shd w:val="clear" w:color="auto" w:fill="EEF2F1"/>
          </w:tcPr>
          <w:p>
            <w:r>
              <w:rPr>
                <w:sz w:val="19"/>
              </w:rPr>
              <w:t>Ripetere l'audit di visibilità sugli assistenti AI con copertura completa (Gemini, Perplexity) prima di investire in contenuti aggiuntivi</w:t>
            </w:r>
          </w:p>
        </w:tc>
        <w:tc>
          <w:tcPr>
            <w:tcW w:type="dxa" w:w="2880"/>
            <w:shd w:val="clear" w:color="auto" w:fill="EEF2F1"/>
          </w:tcPr>
          <w:p>
            <w:r>
              <w:rPr>
                <w:sz w:val="19"/>
              </w:rPr>
              <w:t>Processo</w:t>
            </w:r>
          </w:p>
        </w:tc>
        <w:tc>
          <w:tcPr>
            <w:tcW w:type="dxa" w:w="2880"/>
            <w:shd w:val="clear" w:color="auto" w:fill="EEF2F1"/>
          </w:tcPr>
          <w:p>
            <w:r>
              <w:rPr>
                <w:sz w:val="19"/>
              </w:rPr>
              <w:t>Mesi di chiusura</w:t>
            </w:r>
          </w:p>
        </w:tc>
      </w:tr>
      <w:tr>
        <w:tc>
          <w:tcPr>
            <w:tcW w:type="dxa" w:w="2880"/>
          </w:tcPr>
          <w:p>
            <w:r>
              <w:rPr>
                <w:sz w:val="19"/>
              </w:rPr>
              <w:t>Raccogliere materiale fotografico e UGC aggiornato (famiglia, spiaggia, ristorazione)</w:t>
            </w:r>
          </w:p>
        </w:tc>
        <w:tc>
          <w:tcPr>
            <w:tcW w:type="dxa" w:w="2880"/>
          </w:tcPr>
          <w:p>
            <w:r>
              <w:rPr>
                <w:sz w:val="19"/>
              </w:rPr>
              <w:t>Processo</w:t>
            </w:r>
          </w:p>
        </w:tc>
        <w:tc>
          <w:tcPr>
            <w:tcW w:type="dxa" w:w="2880"/>
          </w:tcPr>
          <w:p>
            <w:r>
              <w:rPr>
                <w:sz w:val="19"/>
              </w:rPr>
              <w:t>Mesi di apertura</w:t>
            </w:r>
          </w:p>
        </w:tc>
      </w:tr>
    </w:tbl>
    <w:p>
      <w:pPr>
        <w:spacing w:after="160"/>
      </w:pPr>
    </w:p>
    <w:p>
      <w:pPr>
        <w:spacing w:before="160" w:after="40"/>
      </w:pPr>
      <w:r>
        <w:rPr>
          <w:b/>
          <w:color w:val="2F5D62"/>
          <w:sz w:val="24"/>
        </w:rPr>
        <w:t>Azioni</w:t>
      </w:r>
    </w:p>
    <w:p>
      <w:r>
        <w:t>Il cantiere digitale — arricchimento dei dati strutturati, pubblicazione dei contenuti sui cluster non-brand, attivazione della raccolta contatti post-soggiorno (già impostati come priorità in sez. 03) — va programmato e concluso nei mesi di chiusura: aprirlo a stagione iniziata significherebbe competere con la gestione operativa quotidiana della struttura a piena occupazione, quando lo staff e la proprietà sono assorbiti dal fronte ospiti. Questo impone di anticipare il lavoro tecnico rispetto all'apertura, non di rincorrerlo in corsa.</w:t>
      </w:r>
    </w:p>
    <w:p>
      <w:r>
        <w:t>Il listino e i pacchetti dedicati a famiglia e coppia (formule di pensione, piano famiglia, spiaggia inclusa, book early) devono essere pubblicati e prenotabili prima che si apra la finestra di prenotazione dei mercati di riferimento, non all'avvio della stagione: chi si presenta a vendere quando il cliente ha già scelto altrove resta invisibile nel momento che conta. La messaggistica differenziata famiglia/coppia definita in sez. 02 va quindi online insieme al listino, non dopo.</w:t>
      </w:r>
    </w:p>
    <w:p>
      <w:r>
        <w:t>La comunicazione di riapertura verso gli ospiti abituali è l'azione che chiude il cerchio della fidelizzazione: la gestione familiare diretta da tre generazioni e il rapporto personale con lo staff, già validati nella relazione con l'ospite, meritano un canale di contatto email attivato per tempo (v. sez. 03), con la data di riapertura comunicata con chiaro anticipo e un'offerta riservata a chi prenota in anticipo. Va programmata prima della riapertura, sui contatti raccolti dalla stagione precedente e da quelli che si riusciranno a recuperare nei mesi di chiusura.</w:t>
      </w:r>
    </w:p>
    <w:p>
      <w:r>
        <w:t>L'audit sulla visibilità negli assistenti AI resta provvisorio: la copertura mancante su due dei tre assistenti testati non consente oggi di trarre conclusioni complete sulla presenza del brand nelle risposte di shortlist. Prima di investire ulteriore budget su contenuti correttivi conviene ripetere la misurazione con copertura piena, nei mesi di chiusura, e solo dopo tarare l'intervento di contenuto sulle query famiglia risultate scoperte.</w:t>
      </w:r>
    </w:p>
    <w:p>
      <w:r>
        <w:t>La raccolta di materiale fotografico e di contenuti dal vivo (famiglia in spiaggia, sala ristorante, momenti con lo staff) va programmata nei mesi di apertura, quando la struttura è viva e fotografabile: è l'unica finestra utile per costruire la base visiva che alimenterà i contenuti e le campagne della stagione successiva, e va assegnata come compito esplicito allo staff o a un referente interno, non lasciata al caso.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Periodo</w:t>
            </w:r>
          </w:p>
        </w:tc>
        <w:tc>
          <w:tcPr>
            <w:tcW w:type="dxa" w:w="2160"/>
            <w:shd w:val="clear" w:color="auto" w:fill="2F5D62"/>
          </w:tcPr>
          <w:p>
            <w:r>
              <w:rPr>
                <w:b/>
                <w:color w:val="FFFFFF"/>
                <w:sz w:val="19"/>
              </w:rPr>
              <w:t>Attività principali</w:t>
            </w:r>
          </w:p>
        </w:tc>
        <w:tc>
          <w:tcPr>
            <w:tcW w:type="dxa" w:w="2160"/>
            <w:shd w:val="clear" w:color="auto" w:fill="2F5D62"/>
          </w:tcPr>
          <w:p>
            <w:r>
              <w:rPr>
                <w:b/>
                <w:color w:val="FFFFFF"/>
                <w:sz w:val="19"/>
              </w:rPr>
              <w:t>Owner</w:t>
            </w:r>
          </w:p>
        </w:tc>
      </w:tr>
      <w:tr>
        <w:tc>
          <w:tcPr>
            <w:tcW w:type="dxa" w:w="2160"/>
          </w:tcPr>
          <w:p>
            <w:r>
              <w:rPr>
                <w:sz w:val="19"/>
              </w:rPr>
              <w:t>Setup</w:t>
            </w:r>
          </w:p>
        </w:tc>
        <w:tc>
          <w:tcPr>
            <w:tcW w:type="dxa" w:w="2160"/>
          </w:tcPr>
          <w:p>
            <w:r>
              <w:rPr>
                <w:sz w:val="19"/>
              </w:rPr>
              <w:t>Mesi di chiusura (prima parte)</w:t>
            </w:r>
          </w:p>
        </w:tc>
        <w:tc>
          <w:tcPr>
            <w:tcW w:type="dxa" w:w="2160"/>
          </w:tcPr>
          <w:p>
            <w:r>
              <w:rPr>
                <w:sz w:val="19"/>
              </w:rPr>
              <w:t>Arricchimento dati strutturati, pubblicazione contenuti cluster non-brand, attivazione raccolta email, ripetizione audit AI con copertura piena</w:t>
            </w:r>
          </w:p>
        </w:tc>
        <w:tc>
          <w:tcPr>
            <w:tcW w:type="dxa" w:w="2160"/>
          </w:tcPr>
          <w:p>
            <w:r>
              <w:rPr>
                <w:sz w:val="19"/>
              </w:rPr>
              <w:t>Agenzia + struttura</w:t>
            </w:r>
          </w:p>
        </w:tc>
      </w:tr>
      <w:tr>
        <w:tc>
          <w:tcPr>
            <w:tcW w:type="dxa" w:w="2160"/>
            <w:shd w:val="clear" w:color="auto" w:fill="EEF2F1"/>
          </w:tcPr>
          <w:p>
            <w:r>
              <w:rPr>
                <w:sz w:val="19"/>
              </w:rPr>
              <w:t>Pre-lancio</w:t>
            </w:r>
          </w:p>
        </w:tc>
        <w:tc>
          <w:tcPr>
            <w:tcW w:type="dxa" w:w="2160"/>
            <w:shd w:val="clear" w:color="auto" w:fill="EEF2F1"/>
          </w:tcPr>
          <w:p>
            <w:r>
              <w:rPr>
                <w:sz w:val="19"/>
              </w:rPr>
              <w:t>Mesi di chiusura (a ridosso della riapertura)</w:t>
            </w:r>
          </w:p>
        </w:tc>
        <w:tc>
          <w:tcPr>
            <w:tcW w:type="dxa" w:w="2160"/>
            <w:shd w:val="clear" w:color="auto" w:fill="EEF2F1"/>
          </w:tcPr>
          <w:p>
            <w:r>
              <w:rPr>
                <w:sz w:val="19"/>
              </w:rPr>
              <w:t>Pubblicazione listino/pacchetti famiglia e coppia, invio comunicazione di riapertura ai contatti raccolti, apertura vendite sui mercati con lead time più lungo</w:t>
            </w:r>
          </w:p>
        </w:tc>
        <w:tc>
          <w:tcPr>
            <w:tcW w:type="dxa" w:w="2160"/>
            <w:shd w:val="clear" w:color="auto" w:fill="EEF2F1"/>
          </w:tcPr>
          <w:p>
            <w:r>
              <w:rPr>
                <w:sz w:val="19"/>
              </w:rPr>
              <w:t>Struttura (contenuti/listino) + agenzia (invio/tracciamento)</w:t>
            </w:r>
          </w:p>
        </w:tc>
      </w:tr>
      <w:tr>
        <w:tc>
          <w:tcPr>
            <w:tcW w:type="dxa" w:w="2160"/>
          </w:tcPr>
          <w:p>
            <w:r>
              <w:rPr>
                <w:sz w:val="19"/>
              </w:rPr>
              <w:t>Lancio</w:t>
            </w:r>
          </w:p>
        </w:tc>
        <w:tc>
          <w:tcPr>
            <w:tcW w:type="dxa" w:w="2160"/>
          </w:tcPr>
          <w:p>
            <w:r>
              <w:rPr>
                <w:sz w:val="19"/>
              </w:rPr>
              <w:t>Apertura stagione</w:t>
            </w:r>
          </w:p>
        </w:tc>
        <w:tc>
          <w:tcPr>
            <w:tcW w:type="dxa" w:w="2160"/>
          </w:tcPr>
          <w:p>
            <w:r>
              <w:rPr>
                <w:sz w:val="19"/>
              </w:rPr>
              <w:t>Presidio reputazionale corrente, gestione dei canali di contatto scritto, avvio raccolta materiale fotografico/UGC</w:t>
            </w:r>
          </w:p>
        </w:tc>
        <w:tc>
          <w:tcPr>
            <w:tcW w:type="dxa" w:w="2160"/>
          </w:tcPr>
          <w:p>
            <w:r>
              <w:rPr>
                <w:sz w:val="19"/>
              </w:rPr>
              <w:t>Struttura</w:t>
            </w:r>
          </w:p>
        </w:tc>
      </w:tr>
      <w:tr>
        <w:tc>
          <w:tcPr>
            <w:tcW w:type="dxa" w:w="2160"/>
            <w:shd w:val="clear" w:color="auto" w:fill="EEF2F1"/>
          </w:tcPr>
          <w:p>
            <w:r>
              <w:rPr>
                <w:sz w:val="19"/>
              </w:rPr>
              <w:t>Ottimizzazione</w:t>
            </w:r>
          </w:p>
        </w:tc>
        <w:tc>
          <w:tcPr>
            <w:tcW w:type="dxa" w:w="2160"/>
            <w:shd w:val="clear" w:color="auto" w:fill="EEF2F1"/>
          </w:tcPr>
          <w:p>
            <w:r>
              <w:rPr>
                <w:sz w:val="19"/>
              </w:rPr>
              <w:t>Durante l'apertura, picchi weekend</w:t>
            </w:r>
          </w:p>
        </w:tc>
        <w:tc>
          <w:tcPr>
            <w:tcW w:type="dxa" w:w="2160"/>
            <w:shd w:val="clear" w:color="auto" w:fill="EEF2F1"/>
          </w:tcPr>
          <w:p>
            <w:r>
              <w:rPr>
                <w:sz w:val="19"/>
              </w:rPr>
              <w:t>Presidio degli eventi estivi coerenti con la stagione (sportivi, culturali) come picchi di domanda weekend; monitoraggio reputazione</w:t>
            </w:r>
          </w:p>
        </w:tc>
        <w:tc>
          <w:tcPr>
            <w:tcW w:type="dxa" w:w="2160"/>
            <w:shd w:val="clear" w:color="auto" w:fill="EEF2F1"/>
          </w:tcPr>
          <w:p>
            <w:r>
              <w:rPr>
                <w:sz w:val="19"/>
              </w:rPr>
              <w:t>Struttura + agenzia</w:t>
            </w:r>
          </w:p>
        </w:tc>
      </w:tr>
      <w:tr>
        <w:tc>
          <w:tcPr>
            <w:tcW w:type="dxa" w:w="2160"/>
          </w:tcPr>
          <w:p>
            <w:r>
              <w:rPr>
                <w:sz w:val="19"/>
              </w:rPr>
              <w:t>Chiusura/rendicontazione</w:t>
            </w:r>
          </w:p>
        </w:tc>
        <w:tc>
          <w:tcPr>
            <w:tcW w:type="dxa" w:w="2160"/>
          </w:tcPr>
          <w:p>
            <w:r>
              <w:rPr>
                <w:sz w:val="19"/>
              </w:rPr>
              <w:t>Fine stagione</w:t>
            </w:r>
          </w:p>
        </w:tc>
        <w:tc>
          <w:tcPr>
            <w:tcW w:type="dxa" w:w="2160"/>
          </w:tcPr>
          <w:p>
            <w:r>
              <w:rPr>
                <w:sz w:val="19"/>
              </w:rPr>
              <w:t>Raccolta esiti, aggiornamento contatti, bilancio KPI (v. sez. 06) in vista del cantiere successivo</w:t>
            </w:r>
          </w:p>
        </w:tc>
        <w:tc>
          <w:tcPr>
            <w:tcW w:type="dxa" w:w="2160"/>
          </w:tcPr>
          <w:p>
            <w:r>
              <w:rPr>
                <w:sz w:val="19"/>
              </w:rPr>
              <w:t>Agenzia</w:t>
            </w:r>
          </w:p>
        </w:tc>
      </w:tr>
    </w:tbl>
    <w:p>
      <w:pPr>
        <w:spacing w:after="160"/>
      </w:pPr>
    </w:p>
    <w:p>
      <w:pPr>
        <w:spacing w:before="160" w:after="40"/>
      </w:pPr>
      <w:r>
        <w:rPr>
          <w:b/>
          <w:color w:val="2F5D62"/>
          <w:sz w:val="24"/>
        </w:rPr>
        <w:t>KPI</w:t>
      </w:r>
    </w:p>
    <w:p>
      <w:pPr>
        <w:pStyle w:val="ListBullet"/>
      </w:pPr>
      <w:r>
        <w:t>I KPI numerici di controllo per ciascuna fase sono raccolti in sez. 06 (Misurazione): questa roadmap ne definisce solo la sequenza e le finestre temporali.</w:t>
      </w:r>
    </w:p>
    <w:p>
      <w:pPr>
        <w:spacing w:before="160" w:after="40"/>
      </w:pPr>
      <w:r>
        <w:rPr>
          <w:b/>
          <w:color w:val="2F5D62"/>
          <w:sz w:val="24"/>
        </w:rPr>
        <w:t>Note esecutive</w:t>
      </w:r>
    </w:p>
    <w:p>
      <w:pPr>
        <w:pStyle w:val="ListBullet"/>
      </w:pPr>
      <w:r>
        <w:t>I mesi di apertura/chiusura qui usati sono un'ipotesi di lavoro: vanno confermati con la struttura e, se diversi, la sequenza setup→pre-lancio→lancio va riallineata di conseguenza.</w:t>
      </w:r>
    </w:p>
    <w:p>
      <w:pPr>
        <w:pStyle w:val="ListBullet"/>
      </w:pPr>
      <w:r>
        <w:t>Le fiere di settore (Sigep, Ecomondo) restano fuori dalla finestra operativa stagionale della struttura: la roadmap non prevede azioni dedicate a questo fronte per l'anno in corso.</w:t>
      </w:r>
    </w:p>
    <w:p>
      <w:pPr>
        <w:pStyle w:val="ListBullet"/>
      </w:pPr>
      <w:r>
        <w:t>Il cantiere tecnico non va in nessun caso aperto durante i mesi di apertura: ogni attività di setup non completata prima della riapertura slitta alla chiusura successiva, non viene recuperata a stagione in corso.</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183</w:t>
            </w:r>
          </w:p>
        </w:tc>
        <w:tc>
          <w:tcPr>
            <w:tcW w:type="dxa" w:w="2160"/>
          </w:tcPr>
          <w:p>
            <w:r>
              <w:rPr>
                <w:sz w:val="19"/>
              </w:rPr>
              <w:t>240</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95.0</w:t>
            </w:r>
          </w:p>
        </w:tc>
        <w:tc>
          <w:tcPr>
            <w:tcW w:type="dxa" w:w="2160"/>
            <w:shd w:val="clear" w:color="auto" w:fill="EEF2F1"/>
          </w:tcPr>
          <w:p>
            <w:r>
              <w:rPr>
                <w:sz w:val="19"/>
              </w:rPr>
              <w:t>—</w:t>
            </w:r>
          </w:p>
        </w:tc>
        <w:tc>
          <w:tcPr>
            <w:tcW w:type="dxa" w:w="2160"/>
            <w:shd w:val="clear" w:color="auto" w:fill="EEF2F1"/>
          </w:tcPr>
          <w:p>
            <w:r>
              <w:rPr>
                <w:sz w:val="19"/>
              </w:rPr>
              <w:t>Baseline diretta dichiarata: concordare col cliente l'incremento su orizzonte realistico (nessun target automatico).</w:t>
            </w:r>
          </w:p>
        </w:tc>
      </w:tr>
      <w:tr>
        <w:tc>
          <w:tcPr>
            <w:tcW w:type="dxa" w:w="2160"/>
          </w:tcPr>
          <w:p>
            <w:r>
              <w:rPr>
                <w:sz w:val="19"/>
              </w:rPr>
              <w:t>Rating aggregato</w:t>
            </w:r>
          </w:p>
        </w:tc>
        <w:tc>
          <w:tcPr>
            <w:tcW w:type="dxa" w:w="2160"/>
          </w:tcPr>
          <w:p>
            <w:r>
              <w:rPr>
                <w:sz w:val="19"/>
              </w:rPr>
              <w:t>4.51</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Hotel Letizia parte oggi senza strumenti di misurazione digitale attivi: nessun accesso riportato a GA4, Search Console, Google Business Profile o dati di conversione del motore di prenotazione. Questo cambia la natura della sezione: prima di parlare di target, il piano deve mettere in piedi l'impianto di misurazione stesso. I KPI che seguono distinguono quindi con disciplina cosa ha già una base di partenza reale (il posizionamento organico, la raccolta contatti, la coerenza dei dati strutturati) e cosa resta, per ora, un obiettivo di processo da strumentare prima di poter fissare un numero. I benchmark di settore su acquisizione diretta e OTA restano riferimenti da validare con i dati reali della struttura una volta raccolti, non target assegnati a priori.</w:t>
      </w:r>
    </w:p>
    <w:p>
      <w:pPr>
        <w:spacing w:before="160" w:after="40"/>
      </w:pPr>
      <w:r>
        <w:rPr>
          <w:b/>
          <w:color w:val="2F5D62"/>
          <w:sz w:val="24"/>
        </w:rPr>
        <w:t>Obiettivi misurabili</w:t>
      </w:r>
    </w:p>
    <w:p>
      <w:pPr>
        <w:pStyle w:val="ListBullet"/>
      </w:pPr>
      <w:r>
        <w:t>Attivare entro la riapertura il tracciamento di base (GA4, Search Console, Google Business Profile, motore di prenotazione): obiettivo di processo, la baseline oggi non è disponibile</w:t>
      </w:r>
    </w:p>
    <w:p>
      <w:pPr>
        <w:pStyle w:val="ListBullet"/>
      </w:pPr>
      <w:r>
        <w:t>Portare le keyword posizionate oltre le 148 attuali su 421 totali, aggredendo i cluster non-brand già mappati (v. sez. 03)</w:t>
      </w:r>
    </w:p>
    <w:p>
      <w:pPr>
        <w:pStyle w:val="ListBullet"/>
      </w:pPr>
      <w:r>
        <w:t>Attivare e far crescere la raccolta contatti email post-soggiorno: obiettivo di processo, nessuna base dati pregressa dichiarata</w:t>
      </w:r>
    </w:p>
    <w:p>
      <w:pPr>
        <w:pStyle w:val="ListBullet"/>
      </w:pPr>
      <w:r>
        <w:t>Ripetere l'audit di visibilità sugli assistenti conversazionali con copertura completa dei tre motori, oggi parziale per due errori tecnici su tre</w:t>
      </w:r>
    </w:p>
    <w:p>
      <w:pPr>
        <w:pStyle w:val="ListBullet"/>
      </w:pPr>
      <w:r>
        <w:t>Mantenere il rating aggregato sopra la media del set competitivo omogeneo, oggi a 4,51/5 contro una media di confronto di 4,23/5</w:t>
      </w:r>
    </w:p>
    <w:p>
      <w:pPr>
        <w:spacing w:before="160" w:after="40"/>
      </w:pPr>
      <w:r>
        <w:rPr>
          <w:b/>
          <w:color w:val="2F5D62"/>
          <w:sz w:val="24"/>
        </w:rPr>
        <w:t>Azioni</w:t>
      </w:r>
    </w:p>
    <w:p>
      <w:r>
        <w:t>L'assenza di accessi analitici rende cieco ogni investimento successivo: senza GA4 e Search Console collegati al sito, senza una scheda Google Business Profile verificata nei suoi accessi, e senza un modo di osservare cosa succede nel motore di prenotazione, nessuna delle azioni di canale descritte nelle sezioni precedenti può essere valutata nei suoi effetti reali. La priorità operativa immediata, prima ancora dei contenuti e delle campagne, è quindi la messa in piedi dell'impianto di tracciamento: va fatto nel periodo di chiusura, insieme al cantiere digitale già descritto in roadmap, perché è un prerequisito e non un'attività a sé.</w:t>
      </w:r>
    </w:p>
    <w:p>
      <w:r>
        <w:t>Il gap di autorità organica rispetto ai concorrenti di ricerca ha già un numero di partenza, 148 keyword posizionate su 421 totali: è l'unico fronte della sezione 03 dove un target numerico ha senso, perché esiste una baseline reale da cui muovere. Il presidio dei cluster non-brand diventa quindi un KPI di avanzamento da monitorare in modo continuativo, non solo all'attivazione dei contenuti ma nel tempo, perché il posizionamento organico si consolida su mesi e non su settimane.</w:t>
      </w:r>
    </w:p>
    <w:p>
      <w:r>
        <w:t>L'audit sugli assistenti conversazionali ha prodotto un risultato solo parziale, con due motori su tre non misurabili per un problema tecnico di accesso: prima di trarre conclusioni sulla visibilità AI complessiva e investire di conseguenza, va ripetuta la rilevazione con copertura completa. Finché l'audit non è completo, ogni azione sui contenuti strutturati per la citabilità AI resta correttamente orientata (v. sez. 01 e 03) ma va trattata come intervento precauzionale, non come risposta a un problema quantificato su tutti i canali.</w:t>
      </w:r>
    </w:p>
    <w:p>
      <w:r>
        <w:t>La relazione personale con gli ospiti, fortissima nelle testimonianze raccolte ma priva oggi di qualunque infrastruttura di raccolta contatti, implica che il primo indicatore di salute del canale diretto non può essere un rapporto diretto/OTA, che richiederebbe uno storico oggi assente, ma la crescita della base contatti stessa: è la metrica che si può misurare da subito e che precede, per costruzione, qualunque target sul direct ratio.</w:t>
      </w:r>
    </w:p>
    <w:p>
      <w:r>
        <w:t>Il rating aggregato e i punteggi per piattaforma sono medie cumulate su centinaia di recensioni storiche: si muovono per natura con lentezza. Il presidio corretto non è un obiettivo di crescita a breve termine del punteggio, ma il mantenimento della posizione già favorevole rispetto alla media del set competitivo omogeneo, unito al monitoraggio costante di come evolve nel tempo il competitor che oggi supera la struttura su questo fronte.</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Target/Obiettivo</w:t>
            </w:r>
          </w:p>
        </w:tc>
        <w:tc>
          <w:tcPr>
            <w:tcW w:type="dxa" w:w="2160"/>
            <w:shd w:val="clear" w:color="auto" w:fill="2F5D62"/>
          </w:tcPr>
          <w:p>
            <w:r>
              <w:rPr>
                <w:b/>
                <w:color w:val="FFFFFF"/>
                <w:sz w:val="19"/>
              </w:rPr>
              <w:t>Cadenza di rilevazione</w:t>
            </w:r>
          </w:p>
        </w:tc>
      </w:tr>
      <w:tr>
        <w:tc>
          <w:tcPr>
            <w:tcW w:type="dxa" w:w="2160"/>
          </w:tcPr>
          <w:p>
            <w:r>
              <w:rPr>
                <w:sz w:val="19"/>
              </w:rPr>
              <w:t>Tracciamento attivo (GA4, Search Console, GBP, motore di prenotazione)</w:t>
            </w:r>
          </w:p>
        </w:tc>
        <w:tc>
          <w:tcPr>
            <w:tcW w:type="dxa" w:w="2160"/>
          </w:tcPr>
          <w:p>
            <w:r>
              <w:rPr>
                <w:sz w:val="19"/>
              </w:rPr>
              <w:t>Non disponibile</w:t>
            </w:r>
          </w:p>
        </w:tc>
        <w:tc>
          <w:tcPr>
            <w:tcW w:type="dxa" w:w="2160"/>
          </w:tcPr>
          <w:p>
            <w:r>
              <w:rPr>
                <w:sz w:val="19"/>
              </w:rPr>
              <w:t>Obiettivo di processo: attivazione entro la riapertura</w:t>
            </w:r>
          </w:p>
        </w:tc>
        <w:tc>
          <w:tcPr>
            <w:tcW w:type="dxa" w:w="2160"/>
          </w:tcPr>
          <w:p>
            <w:r>
              <w:rPr>
                <w:sz w:val="19"/>
              </w:rPr>
              <w:t>Una tantum, poi verifica mensile</w:t>
            </w:r>
          </w:p>
        </w:tc>
      </w:tr>
      <w:tr>
        <w:tc>
          <w:tcPr>
            <w:tcW w:type="dxa" w:w="2160"/>
            <w:shd w:val="clear" w:color="auto" w:fill="EEF2F1"/>
          </w:tcPr>
          <w:p>
            <w:r>
              <w:rPr>
                <w:sz w:val="19"/>
              </w:rPr>
              <w:t>Keyword posizionate</w:t>
            </w:r>
          </w:p>
        </w:tc>
        <w:tc>
          <w:tcPr>
            <w:tcW w:type="dxa" w:w="2160"/>
            <w:shd w:val="clear" w:color="auto" w:fill="EEF2F1"/>
          </w:tcPr>
          <w:p>
            <w:r>
              <w:rPr>
                <w:sz w:val="19"/>
              </w:rPr>
              <w:t>148 su 421 totali</w:t>
            </w:r>
          </w:p>
        </w:tc>
        <w:tc>
          <w:tcPr>
            <w:tcW w:type="dxa" w:w="2160"/>
            <w:shd w:val="clear" w:color="auto" w:fill="EEF2F1"/>
          </w:tcPr>
          <w:p>
            <w:r>
              <w:rPr>
                <w:sz w:val="19"/>
              </w:rPr>
              <w:t>Obiettivo di processo: crescita su cluster non-brand prioritari (v. sez. 03)</w:t>
            </w:r>
          </w:p>
        </w:tc>
        <w:tc>
          <w:tcPr>
            <w:tcW w:type="dxa" w:w="2160"/>
            <w:shd w:val="clear" w:color="auto" w:fill="EEF2F1"/>
          </w:tcPr>
          <w:p>
            <w:r>
              <w:rPr>
                <w:sz w:val="19"/>
              </w:rPr>
              <w:t>Trimestrale</w:t>
            </w:r>
          </w:p>
        </w:tc>
      </w:tr>
      <w:tr>
        <w:tc>
          <w:tcPr>
            <w:tcW w:type="dxa" w:w="2160"/>
          </w:tcPr>
          <w:p>
            <w:r>
              <w:rPr>
                <w:sz w:val="19"/>
              </w:rPr>
              <w:t>Base contatti email post-soggiorno</w:t>
            </w:r>
          </w:p>
        </w:tc>
        <w:tc>
          <w:tcPr>
            <w:tcW w:type="dxa" w:w="2160"/>
          </w:tcPr>
          <w:p>
            <w:r>
              <w:rPr>
                <w:sz w:val="19"/>
              </w:rPr>
              <w:t>Non disponibile</w:t>
            </w:r>
          </w:p>
        </w:tc>
        <w:tc>
          <w:tcPr>
            <w:tcW w:type="dxa" w:w="2160"/>
          </w:tcPr>
          <w:p>
            <w:r>
              <w:rPr>
                <w:sz w:val="19"/>
              </w:rPr>
              <w:t>Obiettivo di processo: attivazione e crescita continuativa</w:t>
            </w:r>
          </w:p>
        </w:tc>
        <w:tc>
          <w:tcPr>
            <w:tcW w:type="dxa" w:w="2160"/>
          </w:tcPr>
          <w:p>
            <w:r>
              <w:rPr>
                <w:sz w:val="19"/>
              </w:rPr>
              <w:t>Mensile</w:t>
            </w:r>
          </w:p>
        </w:tc>
      </w:tr>
      <w:tr>
        <w:tc>
          <w:tcPr>
            <w:tcW w:type="dxa" w:w="2160"/>
            <w:shd w:val="clear" w:color="auto" w:fill="EEF2F1"/>
          </w:tcPr>
          <w:p>
            <w:r>
              <w:rPr>
                <w:sz w:val="19"/>
              </w:rPr>
              <w:t>Copertura audit visibilità assistenti AI</w:t>
            </w:r>
          </w:p>
        </w:tc>
        <w:tc>
          <w:tcPr>
            <w:tcW w:type="dxa" w:w="2160"/>
            <w:shd w:val="clear" w:color="auto" w:fill="EEF2F1"/>
          </w:tcPr>
          <w:p>
            <w:r>
              <w:rPr>
                <w:sz w:val="19"/>
              </w:rPr>
              <w:t>1 motore su 3 misurato</w:t>
            </w:r>
          </w:p>
        </w:tc>
        <w:tc>
          <w:tcPr>
            <w:tcW w:type="dxa" w:w="2160"/>
            <w:shd w:val="clear" w:color="auto" w:fill="EEF2F1"/>
          </w:tcPr>
          <w:p>
            <w:r>
              <w:rPr>
                <w:sz w:val="19"/>
              </w:rPr>
              <w:t>Obiettivo di processo: copertura completa dei 3 motori</w:t>
            </w:r>
          </w:p>
        </w:tc>
        <w:tc>
          <w:tcPr>
            <w:tcW w:type="dxa" w:w="2160"/>
            <w:shd w:val="clear" w:color="auto" w:fill="EEF2F1"/>
          </w:tcPr>
          <w:p>
            <w:r>
              <w:rPr>
                <w:sz w:val="19"/>
              </w:rPr>
              <w:t>Da ripetere, poi semestrale</w:t>
            </w:r>
          </w:p>
        </w:tc>
      </w:tr>
      <w:tr>
        <w:tc>
          <w:tcPr>
            <w:tcW w:type="dxa" w:w="2160"/>
          </w:tcPr>
          <w:p>
            <w:r>
              <w:rPr>
                <w:sz w:val="19"/>
              </w:rPr>
              <w:t>Rating aggregato vs media set competitivo omogeneo</w:t>
            </w:r>
          </w:p>
        </w:tc>
        <w:tc>
          <w:tcPr>
            <w:tcW w:type="dxa" w:w="2160"/>
          </w:tcPr>
          <w:p>
            <w:r>
              <w:rPr>
                <w:sz w:val="19"/>
              </w:rPr>
              <w:t>4,51/5 vs 4,23/5</w:t>
            </w:r>
          </w:p>
        </w:tc>
        <w:tc>
          <w:tcPr>
            <w:tcW w:type="dxa" w:w="2160"/>
          </w:tcPr>
          <w:p>
            <w:r>
              <w:rPr>
                <w:sz w:val="19"/>
              </w:rPr>
              <w:t>Mantenimento della posizione sopra la media di confronto</w:t>
            </w:r>
          </w:p>
        </w:tc>
        <w:tc>
          <w:tcPr>
            <w:tcW w:type="dxa" w:w="2160"/>
          </w:tcPr>
          <w:p>
            <w:r>
              <w:rPr>
                <w:sz w:val="19"/>
              </w:rPr>
              <w:t>Semestrale</w:t>
            </w:r>
          </w:p>
        </w:tc>
      </w:tr>
      <w:tr>
        <w:tc>
          <w:tcPr>
            <w:tcW w:type="dxa" w:w="2160"/>
            <w:shd w:val="clear" w:color="auto" w:fill="EEF2F1"/>
          </w:tcPr>
          <w:p>
            <w:r>
              <w:rPr>
                <w:sz w:val="19"/>
              </w:rPr>
              <w:t>Direct-booking ratio e CAC per canale</w:t>
            </w:r>
          </w:p>
        </w:tc>
        <w:tc>
          <w:tcPr>
            <w:tcW w:type="dxa" w:w="2160"/>
            <w:shd w:val="clear" w:color="auto" w:fill="EEF2F1"/>
          </w:tcPr>
          <w:p>
            <w:r>
              <w:rPr>
                <w:sz w:val="19"/>
              </w:rPr>
              <w:t>Non disponibile</w:t>
            </w:r>
          </w:p>
        </w:tc>
        <w:tc>
          <w:tcPr>
            <w:tcW w:type="dxa" w:w="2160"/>
            <w:shd w:val="clear" w:color="auto" w:fill="EEF2F1"/>
          </w:tcPr>
          <w:p>
            <w:r>
              <w:rPr>
                <w:sz w:val="19"/>
              </w:rPr>
              <w:t>Da fissare solo dopo rilevazione baseline reale (v. sez. 11)</w:t>
            </w:r>
          </w:p>
        </w:tc>
        <w:tc>
          <w:tcPr>
            <w:tcW w:type="dxa" w:w="2160"/>
            <w:shd w:val="clear" w:color="auto" w:fill="EEF2F1"/>
          </w:tcPr>
          <w:p>
            <w:r>
              <w:rPr>
                <w:sz w:val="19"/>
              </w:rPr>
              <w:t>Da impostare</w:t>
            </w:r>
          </w:p>
        </w:tc>
      </w:tr>
    </w:tbl>
    <w:p>
      <w:pPr>
        <w:spacing w:after="160"/>
      </w:pPr>
    </w:p>
    <w:p>
      <w:pPr>
        <w:spacing w:before="160" w:after="40"/>
      </w:pPr>
      <w:r>
        <w:rPr>
          <w:b/>
          <w:color w:val="2F5D62"/>
          <w:sz w:val="24"/>
        </w:rPr>
        <w:t>Note esecutive</w:t>
      </w:r>
    </w:p>
    <w:p>
      <w:pPr>
        <w:pStyle w:val="ListBullet"/>
      </w:pPr>
      <w:r>
        <w:t>Governance: revisione trimestrale dei KPI con baseline disponibile, verifica mensile sugli indicatori di processo in fase di attivazione</w:t>
      </w:r>
    </w:p>
    <w:p>
      <w:pPr>
        <w:pStyle w:val="ListBullet"/>
      </w:pPr>
      <w:r>
        <w:t>Nessun KPI di questa sezione include metriche tariffarie o di rendimento: quelle restano di competenza della struttura e non rientrano nel perimetro del piano</w:t>
      </w:r>
    </w:p>
    <w:p>
      <w:pPr>
        <w:pStyle w:val="ListBullet"/>
      </w:pPr>
      <w:r>
        <w:t>I benchmark di settore su costo di acquisizione e direct ratio citati nella scheda numeri restano riferimenti di validazione, non target assegnati alla struttura finché non esiste una baseline reale</w:t>
      </w:r>
    </w:p>
    <w:p>
      <w:pPr>
        <w:pStyle w:val="ListBullet"/>
      </w:pPr>
      <w:r>
        <w:t>L'elenco completo degli input mancanti che condizionano la fissazione di target numerici è in sez. 08</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5-7% del ricavo (stadio: crescita).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r>
        <w:tc>
          <w:tcPr>
            <w:tcW w:type="dxa" w:w="2880"/>
          </w:tcPr>
          <w:p>
            <w:r>
              <w:rPr>
                <w:sz w:val="19"/>
              </w:rPr>
              <w:t>Local &amp; Google Business Profile</w:t>
            </w:r>
          </w:p>
        </w:tc>
        <w:tc>
          <w:tcPr>
            <w:tcW w:type="dxa" w:w="2880"/>
          </w:tcPr>
          <w:p>
            <w:r>
              <w:rPr>
                <w:sz w:val="19"/>
              </w:rPr>
              <w:t>15-25%</w:t>
            </w:r>
          </w:p>
        </w:tc>
        <w:tc>
          <w:tcPr>
            <w:tcW w:type="dxa" w:w="2880"/>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sopra è la cornice entro cui si muove ogni euro investito da qui alla riapertura: non è un budget piatto sui dodici mesi, ma una sequenza che rispecchia il cantiere digitale e l'apertura stagionale già fissati in roadmap. Per una struttura che oggi non ha una raccolta email strutturata né una copertura organica paragonabile ai competitor per ricerca, il primo euro va speso su ciò che costruisce l'asset diretto (contenuti, dati strutturati, raccolta contatti) prima di quello che compra traffico a pagamento: altrimenti si finanzia un flusso che le OTA già intercettano meglio. La priorità dichiarata nella matrice di canale — email/CRM e contenuti non-brand come fronti da sbloccare subito — trova qui la sua traduzione in percentuali, non in importi: l'ammontare assoluto resta una variabile del ricavo reale della struttura, non di questo piano.</w:t>
      </w:r>
    </w:p>
    <w:p>
      <w:pPr>
        <w:spacing w:before="160" w:after="40"/>
      </w:pPr>
      <w:r>
        <w:rPr>
          <w:b/>
          <w:color w:val="2F5D62"/>
          <w:sz w:val="24"/>
        </w:rPr>
        <w:t>Obiettivi misurabili</w:t>
      </w:r>
    </w:p>
    <w:p>
      <w:pPr>
        <w:pStyle w:val="ListBullet"/>
      </w:pPr>
      <w:r>
        <w:t>Allocare la quota SEO &amp; content &amp; local al cantiere digitale nel periodo di chiusura, concentrando la spesa su arricchimento dati strutturati e contenuti dei cluster non-brand (obiettivo di processo: nessuna baseline di spesa storica disponibile)</w:t>
      </w:r>
    </w:p>
    <w:p>
      <w:pPr>
        <w:pStyle w:val="ListBullet"/>
      </w:pPr>
      <w:r>
        <w:t>Portare la quota Email/CRM &amp; retention ad attivazione piena prima dell'apertura della finestra di prenotazione estero (obiettivo di processo: la raccolta contatti è oggi assente)</w:t>
      </w:r>
    </w:p>
    <w:p>
      <w:pPr>
        <w:pStyle w:val="ListBullet"/>
      </w:pPr>
      <w:r>
        <w:t>Impostare una riallocazione trimestrale della quota Display/retargeting &amp; sperimentazione sulla base delle performance dei canali attivi (obiettivo di processo: nessun dato storico di CAC/ROAS per canale disponibile)</w:t>
      </w:r>
    </w:p>
    <w:p>
      <w:pPr>
        <w:spacing w:before="160" w:after="40"/>
      </w:pPr>
      <w:r>
        <w:rPr>
          <w:b/>
          <w:color w:val="2F5D62"/>
          <w:sz w:val="24"/>
        </w:rPr>
        <w:t>Azioni</w:t>
      </w:r>
    </w:p>
    <w:p>
      <w:r>
        <w:t>La quota SEO &amp; content &amp; local trova la sua finestra naturale nel periodo di chiusura: è lì che si arricchiscono i dati strutturati e si pubblicano i contenuti sui cluster non-brand già individuati, senza sottrarre risorse al presidio quotidiano richiesto quando la struttura è aperta. Spostare questa quota fuori dal cantiere digitale significherebbe spendere nel momento sbagliato, con un ritorno più lento e meno misurabile.</w:t>
      </w:r>
    </w:p>
    <w:p>
      <w:r>
        <w:t>La quota Email/CRM &amp; retention va attivata per prima rispetto alle altre voci a pagamento, perché la comunicazione di riapertura verso gli ospiti abituali precede per definizione l'apertura della domanda dei mercati esteri a lead time più lungo: investire qui prima che altrove protegge il canale diretto, quello su cui la struttura parte oggi da un vuoto di raccolta contatti. È una scelta di sequenza, non di importo.</w:t>
      </w:r>
    </w:p>
    <w:p>
      <w:r>
        <w:t>La quota Search &amp; metasearch va pensata su due momenti distinti e non su un'unica campagna continua: una finestra legata alla riapertura e al presidio del brand, e una finestra più tattica a ridosso delle date calde, quando domanda e disponibilità residua si incontrano. Allocare l'intera quota in un solo blocco temporale sprecherebbe l'efficienza della seconda finestra, quella più vicina alla decisione finale dell'ospite.</w:t>
      </w:r>
    </w:p>
    <w:p>
      <w:r>
        <w:t>La quota Social &amp; video va distribuita in due fasi complementari: raccolta di materiale (foto, video, testimonianze) nel periodo di apertura, quando la struttura è viva e fotografabile, e attivazione/promozione di quel materiale nel periodo che precede la riapertura successiva. Spendere questa quota per produrre contenuti a struttura chiusa non è percorribile: il materiale si raccoglie solo quando l'hotel è operativo.</w:t>
      </w:r>
    </w:p>
    <w:p>
      <w:r>
        <w:t>La quota Display/retargeting &amp; sperimentazione resta la più piccola e la più mobile: va trattata come margine di manovra da riallocare verso i canali che dimostrano risposta migliore, secondo il benchmark operativo di revisione trimestrale già indicato. In assenza di uno storico di CAC o ROAS per canale, questa quota serve anche a generare il primo dato di performance interno su cui tarare la riallocazione successiva.</w:t>
      </w:r>
    </w:p>
    <w:p>
      <w:pPr>
        <w:spacing w:before="160" w:after="40"/>
      </w:pPr>
      <w:r>
        <w:rPr>
          <w:b/>
          <w:color w:val="2F5D62"/>
          <w:sz w:val="24"/>
        </w:rPr>
        <w:t>KPI</w:t>
      </w:r>
    </w:p>
    <w:p>
      <w:r>
        <w:t>I KPI numerici di controllo sulla ripartizione (CAC per canale, ROAS, direct-booking ratio) sono definiti in sez. 06 e vanno letti in combinato con questa tabella: qui si governa la quota di spesa, in sez. 06 l'efficacia di ciascuna quota.</w:t>
      </w:r>
    </w:p>
    <w:p>
      <w:pPr>
        <w:spacing w:before="160" w:after="40"/>
      </w:pPr>
      <w:r>
        <w:rPr>
          <w:b/>
          <w:color w:val="2F5D62"/>
          <w:sz w:val="24"/>
        </w:rPr>
        <w:t>Note esecutive</w:t>
      </w:r>
    </w:p>
    <w:p>
      <w:pPr>
        <w:pStyle w:val="ListBullet"/>
      </w:pPr>
      <w:r>
        <w:t>La tabella riporta esclusivamente le voci e i range già definiti nel record decisionale: nessuna voce aggiuntiva (es. display esteso, influencer, PR) va introdotta senza prima validarne la pertinenza con il cliente.</w:t>
      </w:r>
    </w:p>
    <w:p>
      <w:pPr>
        <w:pStyle w:val="ListBullet"/>
      </w:pPr>
      <w:r>
        <w:t>L'importo assoluto in euro resta fuori da questo piano: la conversione percentuale→importo dipende dal ricavo reale della struttura, oggi non disponibile, e va trattata come allegato economico separato.</w:t>
      </w:r>
    </w:p>
    <w:p>
      <w:pPr>
        <w:pStyle w:val="ListBullet"/>
      </w:pPr>
      <w:r>
        <w:t>La riallocazione trimestrale tra le cinque voci è il meccanismo con cui il piano si corregge nel tempo: va attivata solo dopo aver raccolto il primo trimestre di dati di performance propri, non sulla base dei soli benchmark di settore.</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per essere operativo da subito, ma alcune sue stime restano condizionate a dati che oggi non sono nella disponibilità dell'agenzia e vanno raccolti presso la proprietà o attivati tecnicamente prima della riapertura. Questa sezione elenca in modo trasparente i benchmark di settore usati come riferimento (non come target garantito per Hotel Letizia), gli input cliente ancora mancanti, lo stato della domanda di ricerca e la natura della proposta economica, così che ogni numero del piano resti tracciabile alla sua fonte reale.</w:t>
      </w:r>
    </w:p>
    <w:p>
      <w:pPr>
        <w:spacing w:before="160" w:after="40"/>
      </w:pPr>
      <w:r>
        <w:rPr>
          <w:b/>
          <w:color w:val="2F5D62"/>
          <w:sz w:val="24"/>
        </w:rPr>
        <w:t>Benchmark di settore usati nel piano (da validare, non target garantiti)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Benchmark</w:t>
            </w:r>
          </w:p>
        </w:tc>
        <w:tc>
          <w:tcPr>
            <w:tcW w:type="dxa" w:w="2880"/>
            <w:shd w:val="clear" w:color="auto" w:fill="2F5D62"/>
          </w:tcPr>
          <w:p>
            <w:r>
              <w:rPr>
                <w:b/>
                <w:color w:val="FFFFFF"/>
                <w:sz w:val="19"/>
              </w:rPr>
              <w:t>Valore di riferimento</w:t>
            </w:r>
          </w:p>
        </w:tc>
        <w:tc>
          <w:tcPr>
            <w:tcW w:type="dxa" w:w="2880"/>
            <w:shd w:val="clear" w:color="auto" w:fill="2F5D62"/>
          </w:tcPr>
          <w:p>
            <w:r>
              <w:rPr>
                <w:b/>
                <w:color w:val="FFFFFF"/>
                <w:sz w:val="19"/>
              </w:rPr>
              <w:t>Natura e limite</w:t>
            </w:r>
          </w:p>
        </w:tc>
      </w:tr>
      <w:tr>
        <w:tc>
          <w:tcPr>
            <w:tcW w:type="dxa" w:w="2880"/>
          </w:tcPr>
          <w:p>
            <w:r>
              <w:rPr>
                <w:sz w:val="19"/>
              </w:rPr>
              <w:t>Costo di acquisizione diretto vs OTA</w:t>
            </w:r>
          </w:p>
        </w:tc>
        <w:tc>
          <w:tcPr>
            <w:tcW w:type="dxa" w:w="2880"/>
          </w:tcPr>
          <w:p>
            <w:r>
              <w:rPr>
                <w:sz w:val="19"/>
              </w:rPr>
              <w:t>CoA diretto ~4-5% del ricavo vs commissione OTA 15-30%</w:t>
            </w:r>
          </w:p>
        </w:tc>
        <w:tc>
          <w:tcPr>
            <w:tcW w:type="dxa" w:w="2880"/>
          </w:tcPr>
          <w:p>
            <w:r>
              <w:rPr>
                <w:sz w:val="19"/>
              </w:rPr>
              <w:t>Riferimento di settore; il differenziale regge il business case del diretto ma non è una misura del ricavo di Hotel Letizia</w:t>
            </w:r>
          </w:p>
        </w:tc>
      </w:tr>
      <w:tr>
        <w:tc>
          <w:tcPr>
            <w:tcW w:type="dxa" w:w="2880"/>
            <w:shd w:val="clear" w:color="auto" w:fill="EEF2F1"/>
          </w:tcPr>
          <w:p>
            <w:r>
              <w:rPr>
                <w:sz w:val="19"/>
              </w:rPr>
              <w:t>CAC per canale</w:t>
            </w:r>
          </w:p>
        </w:tc>
        <w:tc>
          <w:tcPr>
            <w:tcW w:type="dxa" w:w="2880"/>
            <w:shd w:val="clear" w:color="auto" w:fill="EEF2F1"/>
          </w:tcPr>
          <w:p>
            <w:r>
              <w:rPr>
                <w:sz w:val="19"/>
              </w:rPr>
              <w:t>Diretto ~15-25 € vs OTA ~35-60 €</w:t>
            </w:r>
          </w:p>
        </w:tc>
        <w:tc>
          <w:tcPr>
            <w:tcW w:type="dxa" w:w="2880"/>
            <w:shd w:val="clear" w:color="auto" w:fill="EEF2F1"/>
          </w:tcPr>
          <w:p>
            <w:r>
              <w:rPr>
                <w:sz w:val="19"/>
              </w:rPr>
              <w:t>Riferimento di settore; richiede ricavo e volumi reali per essere validato sulla struttura</w:t>
            </w:r>
          </w:p>
        </w:tc>
      </w:tr>
      <w:tr>
        <w:tc>
          <w:tcPr>
            <w:tcW w:type="dxa" w:w="2880"/>
          </w:tcPr>
          <w:p>
            <w:r>
              <w:rPr>
                <w:sz w:val="19"/>
              </w:rPr>
              <w:t>ROAS brand/metasearch</w:t>
            </w:r>
          </w:p>
        </w:tc>
        <w:tc>
          <w:tcPr>
            <w:tcW w:type="dxa" w:w="2880"/>
          </w:tcPr>
          <w:p>
            <w:r>
              <w:rPr>
                <w:sz w:val="19"/>
              </w:rPr>
              <w:t>~8:1 indicativo per strutture indipendenti</w:t>
            </w:r>
          </w:p>
        </w:tc>
        <w:tc>
          <w:tcPr>
            <w:tcW w:type="dxa" w:w="2880"/>
          </w:tcPr>
          <w:p>
            <w:r>
              <w:rPr>
                <w:sz w:val="19"/>
              </w:rPr>
              <w:t>Riferimento di settore; non è un target contrattuale, varia per mercato e stagione</w:t>
            </w:r>
          </w:p>
        </w:tc>
      </w:tr>
      <w:tr>
        <w:tc>
          <w:tcPr>
            <w:tcW w:type="dxa" w:w="2880"/>
            <w:shd w:val="clear" w:color="auto" w:fill="EEF2F1"/>
          </w:tcPr>
          <w:p>
            <w:r>
              <w:rPr>
                <w:sz w:val="19"/>
              </w:rPr>
              <w:t>Ripartizione budget per canale/attività</w:t>
            </w:r>
          </w:p>
        </w:tc>
        <w:tc>
          <w:tcPr>
            <w:tcW w:type="dxa" w:w="2880"/>
            <w:shd w:val="clear" w:color="auto" w:fill="EEF2F1"/>
          </w:tcPr>
          <w:p>
            <w:r>
              <w:rPr>
                <w:sz w:val="19"/>
              </w:rPr>
              <w:t>Espressa in questo piano come % per voce, non in importo assoluto</w:t>
            </w:r>
          </w:p>
        </w:tc>
        <w:tc>
          <w:tcPr>
            <w:tcW w:type="dxa" w:w="2880"/>
            <w:shd w:val="clear" w:color="auto" w:fill="EEF2F1"/>
          </w:tcPr>
          <w:p>
            <w:r>
              <w:rPr>
                <w:sz w:val="19"/>
              </w:rPr>
              <w:t>L'importo in € richiede il ricavo reale del cliente, non stimabile qui (vedi voce dedicata sotto)</w:t>
            </w:r>
          </w:p>
        </w:tc>
      </w:tr>
      <w:tr>
        <w:tc>
          <w:tcPr>
            <w:tcW w:type="dxa" w:w="2880"/>
          </w:tcPr>
          <w:p>
            <w:r>
              <w:rPr>
                <w:sz w:val="19"/>
              </w:rPr>
              <w:t>Quota di prenotazione diretta 'corretta'</w:t>
            </w:r>
          </w:p>
        </w:tc>
        <w:tc>
          <w:tcPr>
            <w:tcW w:type="dxa" w:w="2880"/>
          </w:tcPr>
          <w:p>
            <w:r>
              <w:rPr>
                <w:sz w:val="19"/>
              </w:rPr>
              <w:t>Nessun valore universale: dipende da notorietà, stagione, capacità marketing</w:t>
            </w:r>
          </w:p>
        </w:tc>
        <w:tc>
          <w:tcPr>
            <w:tcW w:type="dxa" w:w="2880"/>
          </w:tcPr>
          <w:p>
            <w:r>
              <w:rPr>
                <w:sz w:val="19"/>
              </w:rPr>
              <w:t>Non esiste un target uguale per ogni struttura; l'obiettivo numerico va fissato solo dopo la baseline reale</w:t>
            </w:r>
          </w:p>
        </w:tc>
      </w:tr>
    </w:tbl>
    <w:p>
      <w:pPr>
        <w:spacing w:after="160"/>
      </w:pPr>
    </w:p>
    <w:p>
      <w:pPr>
        <w:spacing w:before="160" w:after="40"/>
      </w:pPr>
      <w:r>
        <w:rPr>
          <w:b/>
          <w:color w:val="2F5D62"/>
          <w:sz w:val="24"/>
        </w:rPr>
        <w:t>Input cliente mancanti (da raccogliere prima di fissare target numerici)</w:t>
      </w:r>
    </w:p>
    <w:p>
      <w:pPr>
        <w:pStyle w:val="ListBullet"/>
      </w:pPr>
      <w:r>
        <w:t>Quota reale di prenotazione diretta vs intermediata e storico CAC per canale: senza questa baseline l'obiettivo di canale resta un obiettivo di processo, non un numero</w:t>
      </w:r>
    </w:p>
    <w:p>
      <w:pPr>
        <w:pStyle w:val="ListBullet"/>
      </w:pPr>
      <w:r>
        <w:t>Budget marketing storico o attuale: necessario per tradurre la ripartizione percentuale di questo piano in importi operativi</w:t>
      </w:r>
    </w:p>
    <w:p>
      <w:pPr>
        <w:pStyle w:val="ListBullet"/>
      </w:pPr>
      <w:r>
        <w:t>Dati di rendimento tariffario e di occupazione (competenza di revenue management della struttura, fuori perimetro di questo piano): utili come contesto per modulare la pressione commerciale stagionale, non per fissare prezzi</w:t>
      </w:r>
    </w:p>
    <w:p>
      <w:pPr>
        <w:pStyle w:val="ListBullet"/>
      </w:pPr>
      <w:r>
        <w:t>Calendario eventi locali e fieristici aggiornato oltre le date già note in roadmap: condiziona la precisione della finestra di copertura in-season</w:t>
      </w:r>
    </w:p>
    <w:p>
      <w:pPr>
        <w:pStyle w:val="ListBullet"/>
      </w:pPr>
      <w:r>
        <w:t>Accesso a Google Analytics 4 e Search Console: indispensabile per misurare traffico organico, conversione del motore di prenotazione e per validare i cluster di ricerca non-brand indicati in sezione 03</w:t>
      </w:r>
    </w:p>
    <w:p>
      <w:pPr>
        <w:pStyle w:val="ListBullet"/>
      </w:pPr>
      <w:r>
        <w:t>Accesso al profilo Google Business Profile: necessario per completare l'audit di coerenza NAP e la qualità della scheda già richiamati in sezione 04</w:t>
      </w:r>
    </w:p>
    <w:p>
      <w:pPr>
        <w:pStyle w:val="ListBullet"/>
      </w:pPr>
      <w:r>
        <w:t>Accesso al motore di prenotazione diretto (dati di frizione, velocità, conversione, uso da mobile): nessun dato disponibile oggi, necessario per validare le azioni sul canale diretto</w:t>
      </w:r>
    </w:p>
    <w:p>
      <w:pPr>
        <w:pStyle w:val="ListBullet"/>
      </w:pPr>
      <w:r>
        <w:t>Accesso al PMS: unica fonte affidabile per misurare le finestre di prenotazione reali per mercato, oggi assunte per analogia settoriale e non verificate sui dati della struttura</w:t>
      </w:r>
    </w:p>
    <w:p>
      <w:pPr>
        <w:pStyle w:val="ListBullet"/>
      </w:pPr>
      <w:r>
        <w:t>Ripetizione dell'audit di visibilità sugli assistenti conversazionali con chiavi di accesso valide per i due assistenti non misurati nell'audit preliminare, prima di investire ulteriormente sui contenuti ottimizzati per quel canale</w:t>
      </w:r>
    </w:p>
    <w:p>
      <w:pPr>
        <w:spacing w:before="160" w:after="40"/>
      </w:pPr>
      <w:r>
        <w:rPr>
          <w:b/>
          <w:color w:val="2F5D62"/>
          <w:sz w:val="24"/>
        </w:rPr>
        <w:t>Domanda di ricerca (stato dei dati)</w:t>
      </w:r>
    </w:p>
    <w:p>
      <w:r>
        <w:t>La domanda di ricerca per i cluster non-brand usati in sezione 03 è già presente e tracciata nell'analisi diagnostica: non è un input mancante. Un eventuale export aggiornato di keyword andrà trattato come delta datato rispetto a questa baseline, da integrare senza sostituirla. Restano invece da integrare i dati di traffico organico reale e di query da Search Console, che misurano il comportamento effettivo degli utenti e non solo il volume di domanda potenziale.</w:t>
      </w:r>
    </w:p>
    <w:p>
      <w:pPr>
        <w:spacing w:before="160" w:after="40"/>
      </w:pPr>
      <w:r>
        <w:rPr>
          <w:b/>
          <w:color w:val="2F5D62"/>
          <w:sz w:val="24"/>
        </w:rPr>
        <w:t>Proposta economica</w:t>
      </w:r>
    </w:p>
    <w:p>
      <w:r>
        <w:t>Questo piano esprime il budget esclusivamente come ripartizione percentuale fra canali e attività (sezione 07); non contiene importi in euro. La quantificazione economica, il preventivo e il piano dei pagamenti sono oggetto di un allegato commerciale separato, di competenza dell'agenzia, da definire una volta disponibile il ricavo reale della struttura.</w:t>
      </w:r>
    </w:p>
    <w:p>
      <w:pPr>
        <w:spacing w:before="160" w:after="40"/>
      </w:pPr>
      <w:r>
        <w:rPr>
          <w:b/>
          <w:color w:val="2F5D62"/>
          <w:sz w:val="24"/>
        </w:rPr>
        <w:t>Obiettivi misurabili</w:t>
      </w:r>
    </w:p>
    <w:p>
      <w:pPr>
        <w:pStyle w:val="ListBullet"/>
      </w:pPr>
      <w:r>
        <w:t>Raccogliere entro la riapertura la baseline reale di quota diretta e CAC storico presso la proprietà, condizione per fissare un target numerico di canale</w:t>
      </w:r>
    </w:p>
    <w:p>
      <w:pPr>
        <w:pStyle w:val="ListBullet"/>
      </w:pPr>
      <w:r>
        <w:t>Attivare l'accesso a GA4, Search Console e Google Business Profile entro l'avvio del cantiere digitale (v. sez. 05), condizione per misurare le azioni SEO e di canale già pianificate</w:t>
      </w:r>
    </w:p>
    <w:p>
      <w:pPr>
        <w:pStyle w:val="ListBullet"/>
      </w:pPr>
      <w:r>
        <w:t>Ripetere l'audit di visibilità sugli assistenti conversazionali con chiavi valide prima di ampliare l'investimento su contenuti ottimizzati per quel canale</w:t>
      </w:r>
    </w:p>
    <w:p>
      <w:pPr>
        <w:spacing w:before="160" w:after="40"/>
      </w:pPr>
      <w:r>
        <w:rPr>
          <w:b/>
          <w:color w:val="2F5D62"/>
          <w:sz w:val="24"/>
        </w:rPr>
        <w:t>Azioni</w:t>
      </w:r>
    </w:p>
    <w:p>
      <w:r>
        <w:t>L'assenza di una baseline su quota diretta e CAC storico rende prudente non fissare, in questa fase, un target numerico di spostamento verso il diretto: l'azione corretta è richiedere alla proprietà lo storico delle prenotazioni per canale, anche parziale, e impostare da subito un tracciamento strutturato così che il prossimo ciclio di pianificazione possa lavorare su un numero reale invece che su un'ipotesi di settore. Allo stesso modo, la mancanza di accesso a GA4 e Search Console impedisce oggi di misurare il traffico organico e la conversione del motore di prenotazione: l'azione è attivare gli accessi come primo passo del cantiere digitale, prima ancora della pubblicazione dei contenuti, perché senza questa base ogni valutazione di risultato resterebbe qualitativa. Sul fronte della visibilità negli assistenti conversazionali, l'audit preliminare ha un limite tecnico dichiarato su due dei tre assistenti testati: prima di destinare budget aggiuntivo all'ottimizzazione per quel canale è necessario ripetere la misurazione con accesso valido, per evitare di investire su un'ipotesi non verificata. Infine, il calendario eventi locali usato in roadmap copre le date già note in fase diagnostica: un suo aggiornamento periodico, concordato con la proprietà o con l'ente locale di riferimento, mantiene la copertura in-season allineata a eventuali variazioni di calendario non ancora note.</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Area</w:t>
            </w:r>
          </w:p>
        </w:tc>
        <w:tc>
          <w:tcPr>
            <w:tcW w:type="dxa" w:w="2880"/>
            <w:shd w:val="clear" w:color="auto" w:fill="2F5D62"/>
          </w:tcPr>
          <w:p>
            <w:r>
              <w:rPr>
                <w:b/>
                <w:color w:val="FFFFFF"/>
                <w:sz w:val="19"/>
              </w:rPr>
              <w:t>Indicatore da attivare</w:t>
            </w:r>
          </w:p>
        </w:tc>
        <w:tc>
          <w:tcPr>
            <w:tcW w:type="dxa" w:w="2880"/>
            <w:shd w:val="clear" w:color="auto" w:fill="2F5D62"/>
          </w:tcPr>
          <w:p>
            <w:r>
              <w:rPr>
                <w:b/>
                <w:color w:val="FFFFFF"/>
                <w:sz w:val="19"/>
              </w:rPr>
              <w:t>Stato attuale</w:t>
            </w:r>
          </w:p>
        </w:tc>
      </w:tr>
      <w:tr>
        <w:tc>
          <w:tcPr>
            <w:tcW w:type="dxa" w:w="2880"/>
          </w:tcPr>
          <w:p>
            <w:r>
              <w:rPr>
                <w:sz w:val="19"/>
              </w:rPr>
              <w:t>Canale diretto</w:t>
            </w:r>
          </w:p>
        </w:tc>
        <w:tc>
          <w:tcPr>
            <w:tcW w:type="dxa" w:w="2880"/>
          </w:tcPr>
          <w:p>
            <w:r>
              <w:rPr>
                <w:sz w:val="19"/>
              </w:rPr>
              <w:t>Quota diretta vs intermediata, CAC per canale</w:t>
            </w:r>
          </w:p>
        </w:tc>
        <w:tc>
          <w:tcPr>
            <w:tcW w:type="dxa" w:w="2880"/>
          </w:tcPr>
          <w:p>
            <w:r>
              <w:rPr>
                <w:sz w:val="19"/>
              </w:rPr>
              <w:t>Baseline assente: da richiedere alla proprietà</w:t>
            </w:r>
          </w:p>
        </w:tc>
      </w:tr>
      <w:tr>
        <w:tc>
          <w:tcPr>
            <w:tcW w:type="dxa" w:w="2880"/>
            <w:shd w:val="clear" w:color="auto" w:fill="EEF2F1"/>
          </w:tcPr>
          <w:p>
            <w:r>
              <w:rPr>
                <w:sz w:val="19"/>
              </w:rPr>
              <w:t>Organico</w:t>
            </w:r>
          </w:p>
        </w:tc>
        <w:tc>
          <w:tcPr>
            <w:tcW w:type="dxa" w:w="2880"/>
            <w:shd w:val="clear" w:color="auto" w:fill="EEF2F1"/>
          </w:tcPr>
          <w:p>
            <w:r>
              <w:rPr>
                <w:sz w:val="19"/>
              </w:rPr>
              <w:t>Traffico organico, query da Search Console, conversione motore di prenotazione</w:t>
            </w:r>
          </w:p>
        </w:tc>
        <w:tc>
          <w:tcPr>
            <w:tcW w:type="dxa" w:w="2880"/>
            <w:shd w:val="clear" w:color="auto" w:fill="EEF2F1"/>
          </w:tcPr>
          <w:p>
            <w:r>
              <w:rPr>
                <w:sz w:val="19"/>
              </w:rPr>
              <w:t>Accesso non disponibile: da attivare</w:t>
            </w:r>
          </w:p>
        </w:tc>
      </w:tr>
      <w:tr>
        <w:tc>
          <w:tcPr>
            <w:tcW w:type="dxa" w:w="2880"/>
          </w:tcPr>
          <w:p>
            <w:r>
              <w:rPr>
                <w:sz w:val="19"/>
              </w:rPr>
              <w:t>Reputazione/GBP</w:t>
            </w:r>
          </w:p>
        </w:tc>
        <w:tc>
          <w:tcPr>
            <w:tcW w:type="dxa" w:w="2880"/>
          </w:tcPr>
          <w:p>
            <w:r>
              <w:rPr>
                <w:sz w:val="19"/>
              </w:rPr>
              <w:t>Completezza e qualità scheda Google Business Profile</w:t>
            </w:r>
          </w:p>
        </w:tc>
        <w:tc>
          <w:tcPr>
            <w:tcW w:type="dxa" w:w="2880"/>
          </w:tcPr>
          <w:p>
            <w:r>
              <w:rPr>
                <w:sz w:val="19"/>
              </w:rPr>
              <w:t>Accesso non disponibile: da attivare</w:t>
            </w:r>
          </w:p>
        </w:tc>
      </w:tr>
      <w:tr>
        <w:tc>
          <w:tcPr>
            <w:tcW w:type="dxa" w:w="2880"/>
            <w:shd w:val="clear" w:color="auto" w:fill="EEF2F1"/>
          </w:tcPr>
          <w:p>
            <w:r>
              <w:rPr>
                <w:sz w:val="19"/>
              </w:rPr>
              <w:t>Visibilità AI</w:t>
            </w:r>
          </w:p>
        </w:tc>
        <w:tc>
          <w:tcPr>
            <w:tcW w:type="dxa" w:w="2880"/>
            <w:shd w:val="clear" w:color="auto" w:fill="EEF2F1"/>
          </w:tcPr>
          <w:p>
            <w:r>
              <w:rPr>
                <w:sz w:val="19"/>
              </w:rPr>
              <w:t>Presenza nelle risposte di assistenti conversazionali su query segmento</w:t>
            </w:r>
          </w:p>
        </w:tc>
        <w:tc>
          <w:tcPr>
            <w:tcW w:type="dxa" w:w="2880"/>
            <w:shd w:val="clear" w:color="auto" w:fill="EEF2F1"/>
          </w:tcPr>
          <w:p>
            <w:r>
              <w:rPr>
                <w:sz w:val="19"/>
              </w:rPr>
              <w:t>Audit parziale: da ripetere con chiavi valide</w:t>
            </w:r>
          </w:p>
        </w:tc>
      </w:tr>
      <w:tr>
        <w:tc>
          <w:tcPr>
            <w:tcW w:type="dxa" w:w="2880"/>
          </w:tcPr>
          <w:p>
            <w:r>
              <w:rPr>
                <w:sz w:val="19"/>
              </w:rPr>
              <w:t>Economico</w:t>
            </w:r>
          </w:p>
        </w:tc>
        <w:tc>
          <w:tcPr>
            <w:tcW w:type="dxa" w:w="2880"/>
          </w:tcPr>
          <w:p>
            <w:r>
              <w:rPr>
                <w:sz w:val="19"/>
              </w:rPr>
              <w:t>Budget assoluto in euro per voce</w:t>
            </w:r>
          </w:p>
        </w:tc>
        <w:tc>
          <w:tcPr>
            <w:tcW w:type="dxa" w:w="2880"/>
          </w:tcPr>
          <w:p>
            <w:r>
              <w:rPr>
                <w:sz w:val="19"/>
              </w:rPr>
              <w:t>Non stimabile: richiede ricavo reale, oggetto di allegato commerciale separato</w:t>
            </w:r>
          </w:p>
        </w:tc>
      </w:tr>
    </w:tbl>
    <w:p>
      <w:pPr>
        <w:spacing w:after="160"/>
      </w:pPr>
    </w:p>
    <w:p>
      <w:pPr>
        <w:spacing w:before="160" w:after="40"/>
      </w:pPr>
      <w:r>
        <w:rPr>
          <w:b/>
          <w:color w:val="2F5D62"/>
          <w:sz w:val="24"/>
        </w:rPr>
        <w:t>Note esecutive</w:t>
      </w:r>
    </w:p>
    <w:p>
      <w:r>
        <w:t>Nessun valore riportato in questa sezione, né altrove nel piano, va comunicato alla proprietà come target garantito: i benchmark restano riferimenti di settore da validare con i dati reali della struttura. La raccolta degli input mancanti è prerequisito operativo, non un'appendice facoltativa: in particolare l'accesso a GA4, Search Console e Google Business Profile condiziona la misurabilità di quasi tutte le azioni descritte nelle sezioni precedenti e andrebbe richiesto alla proprietà nella prima settimana di avvio incarico.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