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OPERATIVO PPC — GOOGLE ADS</w:t>
      </w:r>
    </w:p>
    <w:p>
      <w:pPr>
        <w:spacing w:before="480"/>
        <w:jc w:val="center"/>
      </w:pPr>
      <w:r>
        <w:rPr>
          <w:b/>
          <w:color w:val="1A1A2E"/>
          <w:sz w:val="60"/>
        </w:rPr>
        <w:t>HOTEL AMBASCIATORI</w:t>
      </w:r>
    </w:p>
    <w:p>
      <w:pPr>
        <w:jc w:val="center"/>
      </w:pPr>
      <w:r>
        <w:rPr>
          <w:color w:val="6B7280"/>
          <w:sz w:val="26"/>
        </w:rPr>
        <w:t>Riccione  ·  4 stelle</w:t>
      </w:r>
    </w:p>
    <w:p>
      <w:pPr>
        <w:spacing w:before="360"/>
        <w:pBdr>
          <w:bottom w:val="single" w:sz="12" w:space="6" w:color="2F5D62"/>
        </w:pBdr>
      </w:pPr>
    </w:p>
    <w:p>
      <w:pPr>
        <w:spacing w:before="160"/>
        <w:jc w:val="center"/>
      </w:pPr>
      <w:r>
        <w:rPr>
          <w:color w:val="6B7280"/>
          <w:sz w:val="18"/>
        </w:rPr>
        <w:t>Documento operativo · 27/07/2026 23:38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Piano esecutivo del canale a pagamento (Google Ads + Google Hotel Ads): discende dal Piano Strategico e ne esegue le decisioni di canale. Per ogni area: sintesi strategica, obiettivi misurabili, azioni e KPI.</w:t>
      </w:r>
    </w:p>
    <w:p>
      <w:pPr>
        <w:pStyle w:val="ListNumber"/>
      </w:pPr>
      <w:r>
        <w:t>01 — Quadro del piano e obiettivi</w:t>
      </w:r>
    </w:p>
    <w:p>
      <w:pPr>
        <w:pStyle w:val="ListNumber"/>
      </w:pPr>
      <w:r>
        <w:t>02 — Misurazione e prerequisiti (fase zero)</w:t>
      </w:r>
    </w:p>
    <w:p>
      <w:pPr>
        <w:pStyle w:val="ListNumber"/>
      </w:pPr>
      <w:r>
        <w:t>03 — Architettura dell'account</w:t>
      </w:r>
    </w:p>
    <w:p>
      <w:pPr>
        <w:pStyle w:val="ListNumber"/>
      </w:pPr>
      <w:r>
        <w:t>04 — Keyword e negative</w:t>
      </w:r>
    </w:p>
    <w:p>
      <w:pPr>
        <w:pStyle w:val="ListNumber"/>
      </w:pPr>
      <w:r>
        <w:t>05 — Mercati e geo-targeting</w:t>
      </w:r>
    </w:p>
    <w:p>
      <w:pPr>
        <w:pStyle w:val="ListNumber"/>
      </w:pPr>
      <w:r>
        <w:t>06 — Calendario e pacing</w:t>
      </w:r>
    </w:p>
    <w:p>
      <w:pPr>
        <w:pStyle w:val="ListNumber"/>
      </w:pPr>
      <w:r>
        <w:t>07 — Budget</w:t>
      </w:r>
    </w:p>
    <w:p>
      <w:pPr>
        <w:pStyle w:val="ListNumber"/>
      </w:pPr>
      <w:r>
        <w:t>08 — Assunzioni e re-verifica</w:t>
      </w:r>
    </w:p>
    <w:p>
      <w:r>
        <w:br w:type="page"/>
      </w:r>
    </w:p>
    <w:p>
      <w:pPr>
        <w:spacing w:after="0"/>
      </w:pPr>
      <w:r>
        <w:rPr>
          <w:b/>
          <w:color w:val="2F5D62"/>
          <w:sz w:val="18"/>
        </w:rPr>
        <w:t>SEZIONE 01</w:t>
      </w:r>
    </w:p>
    <w:p>
      <w:pPr>
        <w:spacing w:after="200"/>
        <w:pBdr>
          <w:bottom w:val="single" w:sz="18" w:space="6" w:color="2F5D62"/>
        </w:pBdr>
      </w:pPr>
      <w:r>
        <w:rPr>
          <w:b/>
          <w:color w:val="1A1A2E"/>
          <w:sz w:val="40"/>
        </w:rPr>
        <w:t>Quadro del piano e obiettivi</w:t>
      </w:r>
    </w:p>
    <w:p>
      <w:pPr>
        <w:spacing w:before="160" w:after="40"/>
      </w:pPr>
      <w:r>
        <w:rPr>
          <w:b/>
          <w:color w:val="2F5D62"/>
          <w:sz w:val="24"/>
        </w:rPr>
        <w:t>Quadro del piano (decision record PPC — verità del piano)</w:t>
      </w:r>
    </w:p>
    <w:p>
      <w:r>
        <w:t>Modalità di misurazione: e-commerce (revenue dal booking engine). Conversione primaria: prenotazione confermata (con valore) sulla conferma del booking engine.</w:t>
      </w:r>
    </w:p>
    <w:p>
      <w:r>
        <w:t>Il Piano Strategico assegna alla leva a pagamento due mandati precisi per l'Hotel Ambasciatori: presidiare la ricerca a pagamento (search advertising) e attivare Google Hotel Ads come secondo strato, subordinato alla verifica del connettore Scidoo nella directory dei partner certificati. Questo piano esegue entrambi i verdetti: struttura l'account nell'ordine di priorità corretto — protezione del brand, poi Hotel Ads (link gratuiti prima, bidding dopo la verifica), poi non-brand — e imposta la misurazione, i budget e i KPI per ogni livello separatamente. Non si riapre la discussione sul se investire: si esegue il come e il quando, sull'arco stagionale già definito, con i mesi di anticipo spesa (maggio, giugno, luglio) allineati alla finestra di prenotazione della domanda estera e italiana anticipata.</w:t>
      </w:r>
    </w:p>
    <w:p>
      <w:pPr>
        <w:spacing w:before="160" w:after="40"/>
      </w:pPr>
      <w:r>
        <w:rPr>
          <w:b/>
          <w:color w:val="2F5D62"/>
          <w:sz w:val="24"/>
        </w:rPr>
        <w:t>Obiettivi misurabili</w:t>
      </w:r>
    </w:p>
    <w:p>
      <w:r>
        <w:t>La modalità di misurazione è A — e-commerce: il booking engine Scidoo invia il valore reale della prenotazione confermata alla conferma d'ordine, e questo evento resta la conversione primaria di tutto l'account. Sotto questa modalità ogni obiettivo di layer è leggibile in termini di ricavo diretto attribuito, non di semplice volume di lead: brand protection, non-brand e Hotel Ads vanno letti e valutati separatamente, mai come un ROAS unico aggregato.</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Livello</w:t>
            </w:r>
          </w:p>
        </w:tc>
        <w:tc>
          <w:tcPr>
            <w:tcW w:type="dxa" w:w="2880"/>
            <w:shd w:val="clear" w:color="auto" w:fill="2F5D62"/>
          </w:tcPr>
          <w:p>
            <w:r>
              <w:rPr>
                <w:b/>
                <w:color w:val="FFFFFF"/>
                <w:sz w:val="19"/>
              </w:rPr>
              <w:t>Obiettivo primario</w:t>
            </w:r>
          </w:p>
        </w:tc>
        <w:tc>
          <w:tcPr>
            <w:tcW w:type="dxa" w:w="2880"/>
            <w:shd w:val="clear" w:color="auto" w:fill="2F5D62"/>
          </w:tcPr>
          <w:p>
            <w:r>
              <w:rPr>
                <w:b/>
                <w:color w:val="FFFFFF"/>
                <w:sz w:val="19"/>
              </w:rPr>
              <w:t>Riferimento di settore (da validare)</w:t>
            </w:r>
          </w:p>
        </w:tc>
      </w:tr>
      <w:tr>
        <w:tc>
          <w:tcPr>
            <w:tcW w:type="dxa" w:w="2880"/>
          </w:tcPr>
          <w:p>
            <w:r>
              <w:rPr>
                <w:sz w:val="19"/>
              </w:rPr>
              <w:t>Brand protection</w:t>
            </w:r>
          </w:p>
        </w:tc>
        <w:tc>
          <w:tcPr>
            <w:tcW w:type="dxa" w:w="2880"/>
          </w:tcPr>
          <w:p>
            <w:r>
              <w:rPr>
                <w:sz w:val="19"/>
              </w:rPr>
              <w:t>Quota impression sul nome vicina al totale, difesa dagli intermediari OTA che bidano sul brand</w:t>
            </w:r>
          </w:p>
        </w:tc>
        <w:tc>
          <w:tcPr>
            <w:tcW w:type="dxa" w:w="2880"/>
          </w:tcPr>
          <w:p>
            <w:r>
              <w:rPr>
                <w:sz w:val="19"/>
              </w:rPr>
              <w:t>Impression share brand ≥90%; ROAS indicativo 8-13:1</w:t>
            </w:r>
          </w:p>
        </w:tc>
      </w:tr>
      <w:tr>
        <w:tc>
          <w:tcPr>
            <w:tcW w:type="dxa" w:w="2880"/>
            <w:shd w:val="clear" w:color="auto" w:fill="EEF2F1"/>
          </w:tcPr>
          <w:p>
            <w:r>
              <w:rPr>
                <w:sz w:val="19"/>
              </w:rPr>
              <w:t>Search non-brand / destinazione</w:t>
            </w:r>
          </w:p>
        </w:tc>
        <w:tc>
          <w:tcPr>
            <w:tcW w:type="dxa" w:w="2880"/>
            <w:shd w:val="clear" w:color="auto" w:fill="EEF2F1"/>
          </w:tcPr>
          <w:p>
            <w:r>
              <w:rPr>
                <w:sz w:val="19"/>
              </w:rPr>
              <w:t>Prenotazioni dirette attribuite su query di destinazione e prodotto (famiglia, spa, fronte mare)</w:t>
            </w:r>
          </w:p>
        </w:tc>
        <w:tc>
          <w:tcPr>
            <w:tcW w:type="dxa" w:w="2880"/>
            <w:shd w:val="clear" w:color="auto" w:fill="EEF2F1"/>
          </w:tcPr>
          <w:p>
            <w:r>
              <w:rPr>
                <w:sz w:val="19"/>
              </w:rPr>
              <w:t>ROAS indicativo 2-5:1; CVR non-brand indicativa 0,8-2,5%</w:t>
            </w:r>
          </w:p>
        </w:tc>
      </w:tr>
      <w:tr>
        <w:tc>
          <w:tcPr>
            <w:tcW w:type="dxa" w:w="2880"/>
          </w:tcPr>
          <w:p>
            <w:r>
              <w:rPr>
                <w:sz w:val="19"/>
              </w:rPr>
              <w:t>Google Hotel Ads</w:t>
            </w:r>
          </w:p>
        </w:tc>
        <w:tc>
          <w:tcPr>
            <w:tcW w:type="dxa" w:w="2880"/>
          </w:tcPr>
          <w:p>
            <w:r>
              <w:rPr>
                <w:sz w:val="19"/>
              </w:rPr>
              <w:t>Prenotazioni dirette via free booking links, poi bidding CPC/tROAS una volta verificato il connettore</w:t>
            </w:r>
          </w:p>
        </w:tc>
        <w:tc>
          <w:tcPr>
            <w:tcW w:type="dxa" w:w="2880"/>
          </w:tcPr>
          <w:p>
            <w:r>
              <w:rPr>
                <w:sz w:val="19"/>
              </w:rPr>
              <w:t>ROAS indicativo 6-12:1</w:t>
            </w:r>
          </w:p>
        </w:tc>
      </w:tr>
      <w:tr>
        <w:tc>
          <w:tcPr>
            <w:tcW w:type="dxa" w:w="2880"/>
            <w:shd w:val="clear" w:color="auto" w:fill="EEF2F1"/>
          </w:tcPr>
          <w:p>
            <w:r>
              <w:rPr>
                <w:sz w:val="19"/>
              </w:rPr>
              <w:t>Display remarketing</w:t>
            </w:r>
          </w:p>
        </w:tc>
        <w:tc>
          <w:tcPr>
            <w:tcW w:type="dxa" w:w="2880"/>
            <w:shd w:val="clear" w:color="auto" w:fill="EEF2F1"/>
          </w:tcPr>
          <w:p>
            <w:r>
              <w:rPr>
                <w:sz w:val="19"/>
              </w:rPr>
              <w:t>Recupero di visitatori booking-funnel e pagine camera/offerta non convertiti</w:t>
            </w:r>
          </w:p>
        </w:tc>
        <w:tc>
          <w:tcPr>
            <w:tcW w:type="dxa" w:w="2880"/>
            <w:shd w:val="clear" w:color="auto" w:fill="EEF2F1"/>
          </w:tcPr>
          <w:p>
            <w:r>
              <w:rPr>
                <w:sz w:val="19"/>
              </w:rPr>
              <w:t>ROAS indicativo 3-6:1</w:t>
            </w:r>
          </w:p>
        </w:tc>
      </w:tr>
    </w:tbl>
    <w:p>
      <w:pPr>
        <w:spacing w:after="160"/>
      </w:pPr>
    </w:p>
    <w:p>
      <w:pPr>
        <w:spacing w:before="160" w:after="40"/>
      </w:pPr>
      <w:r>
        <w:rPr>
          <w:b/>
          <w:color w:val="2F5D62"/>
          <w:sz w:val="24"/>
        </w:rPr>
        <w:t>Azioni</w:t>
      </w:r>
    </w:p>
    <w:p>
      <w:r>
        <w:t>La prima azione è tecnica e precede ogni spesa incrementale: verificare se Scidoo compare nella directory dei partner di connettività certificati da Google Hotel Ads, condizione necessaria per attivare il bidding oltre ai link gratuiti (già attivabili da subito, a costo zero). In parallelo si accende la campagna di protezione del marchio, sempre attiva, con struttura per esatto e a frase sulle varianti del nome e negative sui nomi degli intermediari. Solo a misurazione e-commerce confermata attiva sul booking engine si apre il livello non-brand, organizzato per tema (destinazione, famiglia, spa, posizione fronte mare) in campagne separate dal brand. Il layer di remarketing display si costruisce sulla priorità di pubblico indicata dal playbook: abbandoni di funnel di prenotazione prima, visitatori di pagine camera/offerta poi, visitatori generici per ultimi. La riserva stagionale/test copre un'eventuale sperimentazione pilota, gestita con le cautele previste per il formato (esclusione keyword brand, nessuna espansione automatica dell'URL finale).</w:t>
      </w:r>
    </w:p>
    <w:p>
      <w:pPr>
        <w:spacing w:before="160" w:after="40"/>
      </w:pPr>
      <w:r>
        <w:rPr>
          <w:b/>
          <w:color w:val="2F5D62"/>
          <w:sz w:val="24"/>
        </w:rPr>
        <w:t>KPI</w:t>
      </w:r>
    </w:p>
    <w:p>
      <w:pPr>
        <w:pStyle w:val="ListBullet"/>
      </w:pPr>
      <w:r>
        <w:t>Copertura tecnica: connettore Scidoo verificato nella directory Hotel Ads, free booking links attivi</w:t>
      </w:r>
    </w:p>
    <w:p>
      <w:pPr>
        <w:pStyle w:val="ListBullet"/>
      </w:pPr>
      <w:r>
        <w:t>Impression share brand: da monitorare verso il riferimento di settore ≥90%, senza intrusione OTA rilevante sul nome</w:t>
      </w:r>
    </w:p>
    <w:p>
      <w:pPr>
        <w:pStyle w:val="ListBullet"/>
      </w:pPr>
      <w:r>
        <w:t>CAC per canale (spesa/prenotazioni attribuite) confrontato con il costo di intermediazione OTA come ancora di riferimento, non come cifra assoluta</w:t>
      </w:r>
    </w:p>
    <w:p>
      <w:pPr>
        <w:pStyle w:val="ListBullet"/>
      </w:pPr>
      <w:r>
        <w:t>ROAS letto per singolo livello (brand, non-brand, Hotel Ads, remarketing), mai come media unica di account</w:t>
      </w:r>
    </w:p>
    <w:p>
      <w:pPr>
        <w:pStyle w:val="ListBullet"/>
      </w:pPr>
      <w:r>
        <w:t>Conversione primaria: volume e valore delle prenotazioni confermate sul booking engine, in modalità e-commerce</w:t>
      </w:r>
    </w:p>
    <w:p>
      <w:pPr>
        <w:spacing w:before="160" w:after="40"/>
      </w:pPr>
      <w:r>
        <w:rPr>
          <w:b/>
          <w:color w:val="2F5D62"/>
          <w:sz w:val="24"/>
        </w:rPr>
        <w:t>Note esecutive</w:t>
      </w:r>
    </w:p>
    <w:p>
      <w:r>
        <w:t>I riferimenti numerici di ROAS e impression share riportati in tabella sono benchmark di settore, utili come soglia di validazione e non come obiettivo contrattuale del cliente: vanno confrontati con i dati reali dell'account non appena la misurazione produce uno storico sufficiente. Il direct ratio non viene fissato come target in questa sede: la baseline reale (direct ratio, CAC storici) è un input mancante da raccogliere prima di poter parametrare un obiettivo credibile, ed è segnalata come tale nel box dedicato agli input mancanti.</w:t>
      </w:r>
    </w:p>
    <w:p>
      <w:r>
        <w:br w:type="page"/>
      </w:r>
    </w:p>
    <w:p>
      <w:pPr>
        <w:spacing w:after="0"/>
      </w:pPr>
      <w:r>
        <w:rPr>
          <w:b/>
          <w:color w:val="2F5D62"/>
          <w:sz w:val="18"/>
        </w:rPr>
        <w:t>SEZIONE 02</w:t>
      </w:r>
    </w:p>
    <w:p>
      <w:pPr>
        <w:spacing w:after="200"/>
        <w:pBdr>
          <w:bottom w:val="single" w:sz="18" w:space="6" w:color="2F5D62"/>
        </w:pBdr>
      </w:pPr>
      <w:r>
        <w:rPr>
          <w:b/>
          <w:color w:val="1A1A2E"/>
          <w:sz w:val="40"/>
        </w:rPr>
        <w:t>Misurazione e prerequisiti (fase zero)</w:t>
      </w:r>
    </w:p>
    <w:p>
      <w:pPr>
        <w:spacing w:before="160" w:after="40"/>
      </w:pPr>
      <w:r>
        <w:rPr>
          <w:b/>
          <w:color w:val="2F5D62"/>
          <w:sz w:val="24"/>
        </w:rPr>
        <w:t>Impianto di misurazione (fase zero)</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Elemento</w:t>
            </w:r>
          </w:p>
        </w:tc>
        <w:tc>
          <w:tcPr>
            <w:tcW w:type="dxa" w:w="4320"/>
            <w:shd w:val="clear" w:color="auto" w:fill="2F5D62"/>
          </w:tcPr>
          <w:p>
            <w:r>
              <w:rPr>
                <w:b/>
                <w:color w:val="FFFFFF"/>
                <w:sz w:val="19"/>
              </w:rPr>
              <w:t>Stato / prescrizione</w:t>
            </w:r>
          </w:p>
        </w:tc>
      </w:tr>
      <w:tr>
        <w:tc>
          <w:tcPr>
            <w:tcW w:type="dxa" w:w="4320"/>
          </w:tcPr>
          <w:p>
            <w:r>
              <w:rPr>
                <w:sz w:val="19"/>
              </w:rPr>
              <w:t>Modalità</w:t>
            </w:r>
          </w:p>
        </w:tc>
        <w:tc>
          <w:tcPr>
            <w:tcW w:type="dxa" w:w="4320"/>
          </w:tcPr>
          <w:p>
            <w:r>
              <w:rPr>
                <w:sz w:val="19"/>
              </w:rPr>
              <w:t>A — e-commerce</w:t>
            </w:r>
          </w:p>
        </w:tc>
      </w:tr>
      <w:tr>
        <w:tc>
          <w:tcPr>
            <w:tcW w:type="dxa" w:w="4320"/>
            <w:shd w:val="clear" w:color="auto" w:fill="EEF2F1"/>
          </w:tcPr>
          <w:p>
            <w:r>
              <w:rPr>
                <w:sz w:val="19"/>
              </w:rPr>
              <w:t>Conversione primaria</w:t>
            </w:r>
          </w:p>
        </w:tc>
        <w:tc>
          <w:tcPr>
            <w:tcW w:type="dxa" w:w="4320"/>
            <w:shd w:val="clear" w:color="auto" w:fill="EEF2F1"/>
          </w:tcPr>
          <w:p>
            <w:r>
              <w:rPr>
                <w:sz w:val="19"/>
              </w:rPr>
              <w:t>prenotazione confermata (con valore) sulla conferma del booking engine</w:t>
            </w:r>
          </w:p>
        </w:tc>
      </w:tr>
      <w:tr>
        <w:tc>
          <w:tcPr>
            <w:tcW w:type="dxa" w:w="4320"/>
          </w:tcPr>
          <w:p>
            <w:r>
              <w:rPr>
                <w:sz w:val="19"/>
              </w:rPr>
              <w:t>Consent Mode v2</w:t>
            </w:r>
          </w:p>
        </w:tc>
        <w:tc>
          <w:tcPr>
            <w:tcW w:type="dxa" w:w="4320"/>
          </w:tcPr>
          <w:p>
            <w:r>
              <w:rPr>
                <w:sz w:val="19"/>
              </w:rPr>
              <w:t>prerequisito: dal 15/06/2026 è l'unica fonte di consenso letta da Google Ads</w:t>
            </w:r>
          </w:p>
        </w:tc>
      </w:tr>
      <w:tr>
        <w:tc>
          <w:tcPr>
            <w:tcW w:type="dxa" w:w="4320"/>
            <w:shd w:val="clear" w:color="auto" w:fill="EEF2F1"/>
          </w:tcPr>
          <w:p>
            <w:r>
              <w:rPr>
                <w:sz w:val="19"/>
              </w:rPr>
              <w:t>Booking engine</w:t>
            </w:r>
          </w:p>
        </w:tc>
        <w:tc>
          <w:tcPr>
            <w:tcW w:type="dxa" w:w="4320"/>
            <w:shd w:val="clear" w:color="auto" w:fill="EEF2F1"/>
          </w:tcPr>
          <w:p>
            <w:r>
              <w:rPr>
                <w:sz w:val="19"/>
              </w:rPr>
              <w:t>Scidoo</w:t>
            </w:r>
          </w:p>
        </w:tc>
      </w:tr>
      <w:tr>
        <w:tc>
          <w:tcPr>
            <w:tcW w:type="dxa" w:w="4320"/>
          </w:tcPr>
          <w:p>
            <w:r>
              <w:rPr>
                <w:sz w:val="19"/>
              </w:rPr>
              <w:t>CRM collegato</w:t>
            </w:r>
          </w:p>
        </w:tc>
        <w:tc>
          <w:tcPr>
            <w:tcW w:type="dxa" w:w="4320"/>
          </w:tcPr>
          <w:p>
            <w:r>
              <w:rPr>
                <w:sz w:val="19"/>
              </w:rPr>
              <w:t>sì</w:t>
            </w:r>
          </w:p>
        </w:tc>
      </w:tr>
    </w:tbl>
    <w:p>
      <w:pPr>
        <w:spacing w:after="160"/>
      </w:pPr>
    </w:p>
    <w:p>
      <w:r>
        <w:t>Prima di destinare un solo euro incrementale al non-brand o a Google Hotel Ads, l'account deve poggiare su una misurazione che regge: consenso configurato correttamente, conversione primaria cablata con il suo valore, e i segnali di supporto (GA4, enhanced conversions) allineati. Questo è il cantiere che apre il piano — non una nota tecnica a margine, ma la condizione che rende leggibile ogni euro speso da qui in avanti.</w:t>
      </w:r>
    </w:p>
    <w:p>
      <w:pPr>
        <w:spacing w:before="160" w:after="40"/>
      </w:pPr>
      <w:r>
        <w:rPr>
          <w:b/>
          <w:color w:val="2F5D62"/>
          <w:sz w:val="24"/>
        </w:rPr>
        <w:t>Obiettivi misurabili</w:t>
      </w:r>
    </w:p>
    <w:p>
      <w:pPr>
        <w:pStyle w:val="ListBullet"/>
      </w:pPr>
      <w:r>
        <w:t>Consent Mode v2 attivo e verificato sul sito e sul booking engine Scidoo, unico segnale che Google Ads legge in UE da giugno 2026</w:t>
      </w:r>
    </w:p>
    <w:p>
      <w:pPr>
        <w:pStyle w:val="ListBullet"/>
      </w:pPr>
      <w:r>
        <w:t>Conversione primaria 'prenotazione confermata' che passa il valore reale (non un valore fisso) dalla pagina di conferma di Scidoo</w:t>
      </w:r>
    </w:p>
    <w:p>
      <w:pPr>
        <w:pStyle w:val="ListBullet"/>
      </w:pPr>
      <w:r>
        <w:t>GA4 e Google Ads allineati sulla stessa definizione di conversione, senza doppio conteggio né buchi di attribuzione</w:t>
      </w:r>
    </w:p>
    <w:p>
      <w:pPr>
        <w:pStyle w:val="ListBullet"/>
      </w:pPr>
      <w:r>
        <w:t>Enhanced conversions attive per recuperare la parte di match persa dal consenso cookie</w:t>
      </w:r>
    </w:p>
    <w:p>
      <w:pPr>
        <w:pStyle w:val="ListBullet"/>
      </w:pPr>
      <w:r>
        <w:t>Verifica della presenza di Scidoo nella directory dei connectivity partner certificati per Google Hotel Ads, condizione tecnica per accendere il layer metasearch</w:t>
      </w:r>
    </w:p>
    <w:p>
      <w:r>
        <w:t>La sequenza parte dal banner di consenso: va controllato che invii correttamente i segnali di Consent Mode v2, perché un banner mal configurato azzera silenziosamente la misurazione senza che nessun report lo segnali come errore — si vedrebbero solo conversioni in calo senza causa apparente. Una volta verificato il consenso, si cablano il tag di conversione sulla pagina di conferma di Scidoo e il passaggio del valore reale della prenotazione: è questo che rende possibile, più avanti, un'ottimizzazione su ROAS invece che su semplice volume di click. In parallelo va allineato GA4 come fonte di verifica indipendente, utile a intercettare discrepanze prima che diventino decisioni sbagliate sul budget. Enhanced conversions chiude il quadro lato piattaforma, recuperando match che il solo cookie di terze parti non garantisce più. Il quinto tassello riguarda Google Hotel Ads: la modalità e-commerce è già la base corretta per governare il valore delle prenotazioni, ma il layer metasearch richiede in aggiunta un feed prezzi via connectivity partner certificato — va verificato se Scidoo compare nella directory dei partner censiti da Google; se non compare, l'azione è aprire un confronto con il fornitore del booking engine o con Google stesso prima di impegnare budget su quel layer, mentre i link di prenotazione gratuiti restano comunque attivabili da subito, senza vincoli di certificazione. Nessuna euro non-brand va aperta finché questi cinque punti non sono verificati in produzione, non solo in configurazione.</w:t>
      </w:r>
    </w:p>
    <w:p>
      <w:pPr>
        <w:spacing w:before="160" w:after="40"/>
      </w:pPr>
      <w:r>
        <w:rPr>
          <w:b/>
          <w:color w:val="2F5D62"/>
          <w:sz w:val="24"/>
        </w:rPr>
        <w:t>KPI</w:t>
      </w:r>
    </w:p>
    <w:p>
      <w:pPr>
        <w:pStyle w:val="ListBullet"/>
      </w:pPr>
      <w:r>
        <w:t>Tasso di corrispondenza tra conversioni Google Ads e prenotazioni reali registrate su Scidoo: da monitorare come primo controllo di integrità, senza soglia di settore da citare qui</w:t>
      </w:r>
    </w:p>
    <w:p>
      <w:pPr>
        <w:pStyle w:val="ListBullet"/>
      </w:pPr>
      <w:r>
        <w:t>Copertura del consenso (percentuale di sessioni con consenso concesso) come indicatore di salute del segnale, da leggere nel tempo più che in un singolo valore</w:t>
      </w:r>
    </w:p>
    <w:p>
      <w:r>
        <w:t>Note esecutive: la responsabilità di questa fase è condivisa tra chi gestisce il sito/booking engine e chi gestisce l'account Ads — va nominato un referente unico per la verifica tecnica, con scadenza prima dell'apertura del layer non-brand. La verifica della certificazione Scidoo per Hotel Ads è un'azione con proprietario esplicito e va tracciata come task a sé, non lasciata implicita nel go-live generale. La parità tariffaria tra sito diretto e OTA è un prerequisito tecnico dei soli canali basati su prezzo (Hotel Ads, metasearch): va controllata come condizione di accesso al canale, non come indicazione di tariffa — resta materia della struttura.</w:t>
      </w:r>
    </w:p>
    <w:p>
      <w:r>
        <w:br w:type="page"/>
      </w:r>
    </w:p>
    <w:p>
      <w:pPr>
        <w:spacing w:after="0"/>
      </w:pPr>
      <w:r>
        <w:rPr>
          <w:b/>
          <w:color w:val="2F5D62"/>
          <w:sz w:val="18"/>
        </w:rPr>
        <w:t>SEZIONE 03</w:t>
      </w:r>
    </w:p>
    <w:p>
      <w:pPr>
        <w:spacing w:after="200"/>
        <w:pBdr>
          <w:bottom w:val="single" w:sz="18" w:space="6" w:color="2F5D62"/>
        </w:pBdr>
      </w:pPr>
      <w:r>
        <w:rPr>
          <w:b/>
          <w:color w:val="1A1A2E"/>
          <w:sz w:val="40"/>
        </w:rPr>
        <w:t>Architettura dell'account</w:t>
      </w:r>
    </w:p>
    <w:p>
      <w:pPr>
        <w:spacing w:before="160" w:after="40"/>
      </w:pPr>
      <w:r>
        <w:rPr>
          <w:b/>
          <w:color w:val="2F5D62"/>
          <w:sz w:val="24"/>
        </w:rPr>
        <w:t>Architettura campagne (decision record PPC)</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Campagna</w:t>
            </w:r>
          </w:p>
        </w:tc>
        <w:tc>
          <w:tcPr>
            <w:tcW w:type="dxa" w:w="2160"/>
            <w:shd w:val="clear" w:color="auto" w:fill="2F5D62"/>
          </w:tcPr>
          <w:p>
            <w:r>
              <w:rPr>
                <w:b/>
                <w:color w:val="FFFFFF"/>
                <w:sz w:val="19"/>
              </w:rPr>
              <w:t>Stato / condizione</w:t>
            </w:r>
          </w:p>
        </w:tc>
        <w:tc>
          <w:tcPr>
            <w:tcW w:type="dxa" w:w="2160"/>
            <w:shd w:val="clear" w:color="auto" w:fill="2F5D62"/>
          </w:tcPr>
          <w:p>
            <w:r>
              <w:rPr>
                <w:b/>
                <w:color w:val="FFFFFF"/>
                <w:sz w:val="19"/>
              </w:rPr>
              <w:t>Obiettivo</w:t>
            </w:r>
          </w:p>
        </w:tc>
        <w:tc>
          <w:tcPr>
            <w:tcW w:type="dxa" w:w="2160"/>
            <w:shd w:val="clear" w:color="auto" w:fill="2F5D62"/>
          </w:tcPr>
          <w:p>
            <w:r>
              <w:rPr>
                <w:b/>
                <w:color w:val="FFFFFF"/>
                <w:sz w:val="19"/>
              </w:rPr>
              <w:t>KPI guida</w:t>
            </w:r>
          </w:p>
        </w:tc>
      </w:tr>
      <w:tr>
        <w:tc>
          <w:tcPr>
            <w:tcW w:type="dxa" w:w="2160"/>
          </w:tcPr>
          <w:p>
            <w:r>
              <w:rPr>
                <w:sz w:val="19"/>
              </w:rPr>
              <w:t>Brand protection (Search)</w:t>
            </w:r>
          </w:p>
        </w:tc>
        <w:tc>
          <w:tcPr>
            <w:tcW w:type="dxa" w:w="2160"/>
          </w:tcPr>
          <w:p>
            <w:r>
              <w:rPr>
                <w:sz w:val="19"/>
              </w:rPr>
              <w:t>sempre attiva, prima di ogni altra spesa</w:t>
            </w:r>
          </w:p>
        </w:tc>
        <w:tc>
          <w:tcPr>
            <w:tcW w:type="dxa" w:w="2160"/>
          </w:tcPr>
          <w:p>
            <w:r>
              <w:rPr>
                <w:sz w:val="19"/>
              </w:rPr>
              <w:t>difendere il nome dalle OTA</w:t>
            </w:r>
          </w:p>
        </w:tc>
        <w:tc>
          <w:tcPr>
            <w:tcW w:type="dxa" w:w="2160"/>
          </w:tcPr>
          <w:p>
            <w:r>
              <w:rPr>
                <w:sz w:val="19"/>
              </w:rPr>
              <w:t>impression share ≥90%</w:t>
            </w:r>
          </w:p>
        </w:tc>
      </w:tr>
      <w:tr>
        <w:tc>
          <w:tcPr>
            <w:tcW w:type="dxa" w:w="2160"/>
            <w:shd w:val="clear" w:color="auto" w:fill="EEF2F1"/>
          </w:tcPr>
          <w:p>
            <w:r>
              <w:rPr>
                <w:sz w:val="19"/>
              </w:rPr>
              <w:t>Search non-brand / destinazione</w:t>
            </w:r>
          </w:p>
        </w:tc>
        <w:tc>
          <w:tcPr>
            <w:tcW w:type="dxa" w:w="2160"/>
            <w:shd w:val="clear" w:color="auto" w:fill="EEF2F1"/>
          </w:tcPr>
          <w:p>
            <w:r>
              <w:rPr>
                <w:sz w:val="19"/>
              </w:rPr>
              <w:t>secondo il verdetto strategia (attivare_stagionale)</w:t>
            </w:r>
          </w:p>
        </w:tc>
        <w:tc>
          <w:tcPr>
            <w:tcW w:type="dxa" w:w="2160"/>
            <w:shd w:val="clear" w:color="auto" w:fill="EEF2F1"/>
          </w:tcPr>
          <w:p>
            <w:r>
              <w:rPr>
                <w:sz w:val="19"/>
              </w:rPr>
              <w:t>domanda commerciale della destinazione</w:t>
            </w:r>
          </w:p>
        </w:tc>
        <w:tc>
          <w:tcPr>
            <w:tcW w:type="dxa" w:w="2160"/>
            <w:shd w:val="clear" w:color="auto" w:fill="EEF2F1"/>
          </w:tcPr>
          <w:p>
            <w:r>
              <w:rPr>
                <w:sz w:val="19"/>
              </w:rPr>
              <w:t>ROAS per campagna</w:t>
            </w:r>
          </w:p>
        </w:tc>
      </w:tr>
      <w:tr>
        <w:tc>
          <w:tcPr>
            <w:tcW w:type="dxa" w:w="2160"/>
          </w:tcPr>
          <w:p>
            <w:r>
              <w:rPr>
                <w:sz w:val="19"/>
              </w:rPr>
              <w:t>Google Hotel Ads</w:t>
            </w:r>
          </w:p>
        </w:tc>
        <w:tc>
          <w:tcPr>
            <w:tcW w:type="dxa" w:w="2160"/>
          </w:tcPr>
          <w:p>
            <w:r>
              <w:rPr>
                <w:sz w:val="19"/>
              </w:rPr>
              <w:t>condizionata (v. prerequisiti)</w:t>
            </w:r>
          </w:p>
        </w:tc>
        <w:tc>
          <w:tcPr>
            <w:tcW w:type="dxa" w:w="2160"/>
          </w:tcPr>
          <w:p>
            <w:r>
              <w:rPr>
                <w:sz w:val="19"/>
              </w:rPr>
              <w:t>presidio del modulo prezzi Google</w:t>
            </w:r>
          </w:p>
        </w:tc>
        <w:tc>
          <w:tcPr>
            <w:tcW w:type="dxa" w:w="2160"/>
          </w:tcPr>
          <w:p>
            <w:r>
              <w:rPr>
                <w:sz w:val="19"/>
              </w:rPr>
              <w:t>ROAS per campagna</w:t>
            </w:r>
          </w:p>
        </w:tc>
      </w:tr>
      <w:tr>
        <w:tc>
          <w:tcPr>
            <w:tcW w:type="dxa" w:w="2160"/>
            <w:shd w:val="clear" w:color="auto" w:fill="EEF2F1"/>
          </w:tcPr>
          <w:p>
            <w:r>
              <w:rPr>
                <w:sz w:val="19"/>
              </w:rPr>
              <w:t>Display remarketing</w:t>
            </w:r>
          </w:p>
        </w:tc>
        <w:tc>
          <w:tcPr>
            <w:tcW w:type="dxa" w:w="2160"/>
            <w:shd w:val="clear" w:color="auto" w:fill="EEF2F1"/>
          </w:tcPr>
          <w:p>
            <w:r>
              <w:rPr>
                <w:sz w:val="19"/>
              </w:rPr>
              <w:t>dopo l'infrastruttura di misurazione (fase zero)</w:t>
            </w:r>
          </w:p>
        </w:tc>
        <w:tc>
          <w:tcPr>
            <w:tcW w:type="dxa" w:w="2160"/>
            <w:shd w:val="clear" w:color="auto" w:fill="EEF2F1"/>
          </w:tcPr>
          <w:p>
            <w:r>
              <w:rPr>
                <w:sz w:val="19"/>
              </w:rPr>
              <w:t>recupero degli abbandoni del funnel</w:t>
            </w:r>
          </w:p>
        </w:tc>
        <w:tc>
          <w:tcPr>
            <w:tcW w:type="dxa" w:w="2160"/>
            <w:shd w:val="clear" w:color="auto" w:fill="EEF2F1"/>
          </w:tcPr>
          <w:p>
            <w:r>
              <w:rPr>
                <w:sz w:val="19"/>
              </w:rPr>
              <w:t>ROAS per campagna</w:t>
            </w:r>
          </w:p>
        </w:tc>
      </w:tr>
      <w:tr>
        <w:tc>
          <w:tcPr>
            <w:tcW w:type="dxa" w:w="2160"/>
          </w:tcPr>
          <w:p>
            <w:r>
              <w:rPr>
                <w:sz w:val="19"/>
              </w:rPr>
              <w:t>Performance Max / AI Max</w:t>
            </w:r>
          </w:p>
        </w:tc>
        <w:tc>
          <w:tcPr>
            <w:tcW w:type="dxa" w:w="2160"/>
          </w:tcPr>
          <w:p>
            <w:r>
              <w:rPr>
                <w:sz w:val="19"/>
              </w:rPr>
              <w:t>pilota successivo, con esclusione brand e Final URL expansion disattivata</w:t>
            </w:r>
          </w:p>
        </w:tc>
        <w:tc>
          <w:tcPr>
            <w:tcW w:type="dxa" w:w="2160"/>
          </w:tcPr>
          <w:p>
            <w:r>
              <w:rPr>
                <w:sz w:val="19"/>
              </w:rPr>
              <w:t>espansione oltre le keyword, sotto controllo</w:t>
            </w:r>
          </w:p>
        </w:tc>
        <w:tc>
          <w:tcPr>
            <w:tcW w:type="dxa" w:w="2160"/>
          </w:tcPr>
          <w:p>
            <w:r>
              <w:rPr>
                <w:sz w:val="19"/>
              </w:rPr>
              <w:t>incrementalità a livello account</w:t>
            </w:r>
          </w:p>
        </w:tc>
      </w:tr>
    </w:tbl>
    <w:p>
      <w:pPr>
        <w:spacing w:after="160"/>
      </w:pPr>
    </w:p>
    <w:p>
      <w:r>
        <w:t>L'account si costruisce per strati, non per elenco di campagne: prima si difende il nome — a basso costo e a rendimento immediato, oggi ancora ceduto agli intermediari — poi si accendono in sequenza i livelli misurati (metasearch, non-brand, remarketing), e solo in coda, a infrastruttura verificata, un pilota di espansione automatica tenuto sotto controllo stretto. Brand e non-brand non condividono mai una campagna: ciascun tema resta un budget separato, leggibile e governabile singolarmente.</w:t>
      </w:r>
    </w:p>
    <w:p>
      <w:pPr>
        <w:spacing w:before="160" w:after="40"/>
      </w:pPr>
      <w:r>
        <w:rPr>
          <w:b/>
          <w:color w:val="2F5D62"/>
          <w:sz w:val="24"/>
        </w:rPr>
        <w:t>Obiettivi misurabili</w:t>
      </w:r>
    </w:p>
    <w:p>
      <w:pPr>
        <w:pStyle w:val="ListBullet"/>
      </w:pPr>
      <w:r>
        <w:t>Attivare la campagna di brand protection come primo presidio, con quota impression sul nome verso il 90% indicato in sede di KPI di piano</w:t>
      </w:r>
    </w:p>
    <w:p>
      <w:pPr>
        <w:pStyle w:val="ListBullet"/>
      </w:pPr>
      <w:r>
        <w:t>Collegare Hotel Ambasciatori a Google Hotel Ads tramite un partner di connettività certificato, verificando la presenza di Scidoo nella directory ufficiale prima di impostare qualunque offerta a pagamento</w:t>
      </w:r>
    </w:p>
    <w:p>
      <w:pPr>
        <w:pStyle w:val="ListBullet"/>
      </w:pPr>
      <w:r>
        <w:t>Costruire l'infrastruttura di remarketing (audience per funnel di prenotazione, pagine camera/offerta, visitatori generici) prima di aprire il non-brand</w:t>
      </w:r>
    </w:p>
    <w:p>
      <w:pPr>
        <w:pStyle w:val="ListBullet"/>
      </w:pPr>
      <w:r>
        <w:t>Aprire il non-brand per tema di destinazione solo a misurazione e-commerce confermata attiva</w:t>
      </w:r>
    </w:p>
    <w:p>
      <w:pPr>
        <w:pStyle w:val="ListBullet"/>
      </w:pPr>
      <w:r>
        <w:t>Riservare Performance Max / AI Max a un pilota gated, mai come layer di partenza</w:t>
      </w:r>
    </w:p>
    <w:p>
      <w:pPr>
        <w:spacing w:before="160" w:after="40"/>
      </w:pPr>
      <w:r>
        <w:rPr>
          <w:b/>
          <w:color w:val="2F5D62"/>
          <w:sz w:val="24"/>
        </w:rPr>
        <w:t>Azioni</w:t>
      </w:r>
    </w:p>
    <w:p>
      <w:r>
        <w:t>La prima campagna da accendere è quella di protezione del marchio: nome dell'hotel in esatta e frase su tutte le varianti, negative sui nomi degli intermediari che oggi intercettano ricerche già decise, e una segnalazione di violazione di marchio per tenere il nome fuori dagli annunci altrui. È il livello a rendimento più immediato e a costo più contenuto, e per questo apre la sequenza senza attendere nient'altro. Segue, non in parallelo, la connessione a Google Hotel Ads: prima i link di prenotazione gratuiti, verificando che Scidoo sia effettivamente censito come partner di connettività (in caso contrario va aperta una verifica diretta con Google o valutato un partner alternativo), poi l'attivazione dell'offerta a pagamento su CPC o percentuale prezzo camera, condizionata a questa verifica tecnica. Con la misurazione e-commerce del booking engine confermata attiva, si costruisce l'infrastruttura di remarketing: lista abbandono funnel di prenotazione in cima alla priorità, poi visitatori di pagine camera/offerta, infine visitatori generici del sito — l'ordine segue l'intento, non il volume di traffico. Solo a questo punto si apre il livello non-brand, una campagna per tema (destinazione, famiglie, spa/benessere, business/MICE secondo la lente segmenti già mappata), mai un'unica campagna generalista: ogni tema resta un budget separato e leggibile, coerente con il lessico di prodotto (formule pensione, family plan, spiaggia inclusa) nel testo annuncio e nella pagina di atterraggio corrispondente. L'espansione automatica — Performance Max o il livello AI Max sopra il Search — entra solo come pilota vincolato: parole chiave di brand escluse per non cannibalizzare il presidio già pagato altrove, espansione dell'URL finale disattivata perché il funnel di prenotazione non regge un atterraggio sostituito automaticamente, un brief AI che vieta di inventare prezzi o dotazioni non confermate dalla struttura, e una revisione settimanale dei termini di ricerca per intercettare derive di spesa fuori tema. Il giudizio sul pilota si dà a livello di account, non di singola campagna, perché una parte del traffico di questi formati si sovrappone a parole chiave già presidiate altrove.</w:t>
      </w:r>
    </w:p>
    <w:p>
      <w:pPr>
        <w:spacing w:before="160" w:after="40"/>
      </w:pPr>
      <w:r>
        <w:rPr>
          <w:b/>
          <w:color w:val="2F5D62"/>
          <w:sz w:val="24"/>
        </w:rPr>
        <w:t>KPI</w:t>
      </w:r>
    </w:p>
    <w:p>
      <w:pPr>
        <w:pStyle w:val="ListBullet"/>
      </w:pPr>
      <w:r>
        <w:t>Quota impression brand: obiettivo 90% a regime, monitorata da subito dall'accensione della prima campagna</w:t>
      </w:r>
    </w:p>
    <w:p>
      <w:pPr>
        <w:pStyle w:val="ListBullet"/>
      </w:pPr>
      <w:r>
        <w:t>ROAS per layer da leggere separatamente: non un target unico di account, coerente con l'impostazione già data in sede di quadro di piano</w:t>
      </w:r>
    </w:p>
    <w:p>
      <w:pPr>
        <w:pStyle w:val="ListBullet"/>
      </w:pPr>
      <w:r>
        <w:t>Revisione settimanale dei termini di ricerca sul pilota PMax/AI Max come condizione di permanenza del pilota stesso, non come attività opzionale</w:t>
      </w:r>
    </w:p>
    <w:p>
      <w:pPr>
        <w:spacing w:before="160" w:after="40"/>
      </w:pPr>
      <w:r>
        <w:rPr>
          <w:b/>
          <w:color w:val="2F5D62"/>
          <w:sz w:val="24"/>
        </w:rPr>
        <w:t>Note esecutive</w:t>
      </w:r>
    </w:p>
    <w:p>
      <w:r>
        <w:t>La sequenza è vincolante: nessun livello si accende prima che il precedente sia verificato attivo e misurato. In particolare, il non-brand non parte senza la conferma che la conversione e-commerce sul booking engine Scidoo registri correttamente il valore della prenotazione; il pilota PMax/AI Max non parte senza brand escluso ed espansione URL disattivata impostati esplicitamente in configurazione.</w:t>
      </w:r>
    </w:p>
    <w:p>
      <w:r>
        <w:br w:type="page"/>
      </w:r>
    </w:p>
    <w:p>
      <w:pPr>
        <w:spacing w:after="0"/>
      </w:pPr>
      <w:r>
        <w:rPr>
          <w:b/>
          <w:color w:val="2F5D62"/>
          <w:sz w:val="18"/>
        </w:rPr>
        <w:t>SEZIONE 04</w:t>
      </w:r>
    </w:p>
    <w:p>
      <w:pPr>
        <w:spacing w:after="200"/>
        <w:pBdr>
          <w:bottom w:val="single" w:sz="18" w:space="6" w:color="2F5D62"/>
        </w:pBdr>
      </w:pPr>
      <w:r>
        <w:rPr>
          <w:b/>
          <w:color w:val="1A1A2E"/>
          <w:sz w:val="40"/>
        </w:rPr>
        <w:t>Keyword e negative</w:t>
      </w:r>
    </w:p>
    <w:p>
      <w:pPr>
        <w:spacing w:before="160" w:after="40"/>
      </w:pPr>
      <w:r>
        <w:rPr>
          <w:b/>
          <w:color w:val="2F5D62"/>
          <w:sz w:val="24"/>
        </w:rPr>
        <w:t>Nucleo brand protection (parametri deterministici)</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Parametro</w:t>
            </w:r>
          </w:p>
        </w:tc>
        <w:tc>
          <w:tcPr>
            <w:tcW w:type="dxa" w:w="4320"/>
            <w:shd w:val="clear" w:color="auto" w:fill="2F5D62"/>
          </w:tcPr>
          <w:p>
            <w:r>
              <w:rPr>
                <w:b/>
                <w:color w:val="FFFFFF"/>
                <w:sz w:val="19"/>
              </w:rPr>
              <w:t>Valore</w:t>
            </w:r>
          </w:p>
        </w:tc>
      </w:tr>
      <w:tr>
        <w:tc>
          <w:tcPr>
            <w:tcW w:type="dxa" w:w="4320"/>
          </w:tcPr>
          <w:p>
            <w:r>
              <w:rPr>
                <w:sz w:val="19"/>
              </w:rPr>
              <w:t>Varianti da presidiare (exact/phrase)</w:t>
            </w:r>
          </w:p>
        </w:tc>
        <w:tc>
          <w:tcPr>
            <w:tcW w:type="dxa" w:w="4320"/>
          </w:tcPr>
          <w:p>
            <w:r>
              <w:rPr>
                <w:sz w:val="19"/>
              </w:rPr>
              <w:t>Hotel Ambasciatori; Ambasciatori; Hotel Ambasciatori Riccione; Hotel Ambasciatori sito ufficiale</w:t>
            </w:r>
          </w:p>
        </w:tc>
      </w:tr>
      <w:tr>
        <w:tc>
          <w:tcPr>
            <w:tcW w:type="dxa" w:w="4320"/>
            <w:shd w:val="clear" w:color="auto" w:fill="EEF2F1"/>
          </w:tcPr>
          <w:p>
            <w:r>
              <w:rPr>
                <w:sz w:val="19"/>
              </w:rPr>
              <w:t>Negative (intermediari)</w:t>
            </w:r>
          </w:p>
        </w:tc>
        <w:tc>
          <w:tcPr>
            <w:tcW w:type="dxa" w:w="4320"/>
            <w:shd w:val="clear" w:color="auto" w:fill="EEF2F1"/>
          </w:tcPr>
          <w:p>
            <w:r>
              <w:rPr>
                <w:sz w:val="19"/>
              </w:rPr>
              <w:t>booking, booking.com, expedia, trivago, tripadvisor, hotels.com, agoda, kayak, lastminute, edreams, airbnb</w:t>
            </w:r>
          </w:p>
        </w:tc>
      </w:tr>
      <w:tr>
        <w:tc>
          <w:tcPr>
            <w:tcW w:type="dxa" w:w="4320"/>
          </w:tcPr>
          <w:p>
            <w:r>
              <w:rPr>
                <w:sz w:val="19"/>
              </w:rPr>
              <w:t>Budget riserva</w:t>
            </w:r>
          </w:p>
        </w:tc>
        <w:tc>
          <w:tcPr>
            <w:tcW w:type="dxa" w:w="4320"/>
          </w:tcPr>
          <w:p>
            <w:r>
              <w:rPr>
                <w:sz w:val="19"/>
              </w:rPr>
              <w:t>5 €–15 € al giorno</w:t>
            </w:r>
          </w:p>
        </w:tc>
      </w:tr>
      <w:tr>
        <w:tc>
          <w:tcPr>
            <w:tcW w:type="dxa" w:w="4320"/>
            <w:shd w:val="clear" w:color="auto" w:fill="EEF2F1"/>
          </w:tcPr>
          <w:p>
            <w:r>
              <w:rPr>
                <w:sz w:val="19"/>
              </w:rPr>
              <w:t>Impression share obiettivo</w:t>
            </w:r>
          </w:p>
        </w:tc>
        <w:tc>
          <w:tcPr>
            <w:tcW w:type="dxa" w:w="4320"/>
            <w:shd w:val="clear" w:color="auto" w:fill="EEF2F1"/>
          </w:tcPr>
          <w:p>
            <w:r>
              <w:rPr>
                <w:sz w:val="19"/>
              </w:rPr>
              <w:t>≥90%</w:t>
            </w:r>
          </w:p>
        </w:tc>
      </w:tr>
    </w:tbl>
    <w:p>
      <w:pPr>
        <w:spacing w:after="160"/>
      </w:pPr>
    </w:p>
    <w:p>
      <w:r>
        <w:t>Il nucleo brand è già definito in architettura: qui si costruisce il livello non-brand, che pesca direttamente dal ledger di domanda della diagnosi. Le 33 keyword di destinazione mappate valgono circa 83.740 ricerche al mese e oggi non sono presidiate né in organico né a pagamento: sono queste — non un elenco generico — a diventare i temi delle campagne search non-brand, con priorità alle query ad alta intenzione (destinazione, prodotto, formula) e le query informazionali riservate al remarketing e non alla ricerca a pagamento diretta. Le negative sono un asset vivo, aggiornato ogni settimana, non un elenco impostato una volta e dimenticato.</w:t>
      </w:r>
    </w:p>
    <w:p>
      <w:pPr>
        <w:spacing w:before="160" w:after="40"/>
      </w:pPr>
      <w:r>
        <w:rPr>
          <w:b/>
          <w:color w:val="2F5D62"/>
          <w:sz w:val="24"/>
        </w:rPr>
        <w:t>Obiettivi misurabili</w:t>
      </w:r>
    </w:p>
    <w:p>
      <w:pPr>
        <w:pStyle w:val="ListBullet"/>
      </w:pPr>
      <w:r>
        <w:t>Costruire almeno tre temi di campagna non-brand ad alta intenzione (posizione/lungomare, tipologia struttura, formula famiglia) attivi entro l'avvio del layer non-brand previsto in architettura</w:t>
      </w:r>
    </w:p>
    <w:p>
      <w:pPr>
        <w:pStyle w:val="ListBullet"/>
      </w:pPr>
      <w:r>
        <w:t>Portare in produzione una lista negativa condivisa (intermediari, competitor, intenti fuori target) rivista con cadenza settimanale nelle prime otto settimane, poi mensile</w:t>
      </w:r>
    </w:p>
    <w:p>
      <w:pPr>
        <w:pStyle w:val="ListBullet"/>
      </w:pPr>
      <w:r>
        <w:t>Collegare ogni tema keyword alla pagina di atterraggio segmento-specifica già esistente sul sito, senza eccezioni</w:t>
      </w:r>
    </w:p>
    <w:p>
      <w:pPr>
        <w:spacing w:before="160" w:after="40"/>
      </w:pPr>
      <w:r>
        <w:rPr>
          <w:b/>
          <w:color w:val="2F5D62"/>
          <w:sz w:val="24"/>
        </w:rPr>
        <w:t>Azioni</w:t>
      </w:r>
    </w:p>
    <w:p>
      <w:r>
        <w:t>Il primo tema è la destinazione e la posizione fronte mare: raccoglie le query a più alto volume del ledger, "hotel riccione" (22.200/mese), "hotel riccione sul mare" (9.900/mese) e "hotel lungomare riccione" (8.100/mese), tutte oggi non intercettate. È il gruppo con il traffico più ampio e il collegamento naturale è la pagina di posizionamento che già racconta il lungomare pedonale e la vicinanza a Viale Ceccarini: qui l'annuncio deve restare aderente a ciò che l'ospite trova appena atterra, senza promettere nulla che la pagina non confermi. Il secondo tema è la tipologia di struttura e il segmento famiglia, che raccoglie "family hotel riccione" (3.600/mese), "hotel riccione 4 stelle" (2.900/mese) e "hotel riccione pensione completa" (2.900/mese): queste query vanno alla pagina dedicata all'attenzione ai più piccoli e, per la pensione completa, a un annuncio che nomini esplicitamente il trattamento (mezza pensione, pensione completa, all inclusive) invece di restare generico, perché è il linguaggio con cui l'ospite cerca ed è il linguaggio con cui la struttura già comunica online. Il terzo tema, minore per volume ma coerente con l'USP più validata dalle recensioni, è la spa e il benessere: "hotel con spa riccione" (1.900/mese, oggi presente ma non competitiva) va collegato alla pagina piscine e area relax, con un annuncio che nomini la metratura e la collaborazione STARPOOL invece di restare su un generico "spa inclusa". Query come "hotel sport riccione" (2.900/mese) e "residence riccione" (1.900/mese) restano fuori dal primo lancio: sono adiacenti, non centrali, e vanno valutate solo dopo che i tre temi principali hanno prodotto dati di conversione sufficienti. Le negative si costruiscono su tre livelli: nomi di portali e OTA (già presidiati in brand protection, ma da estendere anche al non-brand per evitare sovrapposizioni di spesa), nomi dei competitor diretti censiti in diagnosi (Atlantic Hotel, Nautico, Corallo, Boemia e gli altri del set), e intenti fuori target come "residence", "b&amp;b" e "appartamenti" quando compaiono come query autonome e non come varianti della stessa ricerca alberghiera. Ogni annuncio dei temi non-brand deve tradurre in termini concreti il vantaggio del diretto: cancellazione flessibile dove la policy lo consente, il vantaggio di prenotare con la struttura senza intermediazione, eventuali condizioni riservate a chi prenota sul sito — mai una dicitura di "miglior tariffa" se non verificata e sostenibile nel tempo.</w:t>
      </w:r>
    </w:p>
    <w:p>
      <w:pPr>
        <w:spacing w:before="160" w:after="40"/>
      </w:pPr>
      <w:r>
        <w:rPr>
          <w:b/>
          <w:color w:val="2F5D62"/>
          <w:sz w:val="24"/>
        </w:rPr>
        <w:t>KPI</w:t>
      </w:r>
    </w:p>
    <w:p>
      <w:pPr>
        <w:pStyle w:val="ListBullet"/>
      </w:pPr>
      <w:r>
        <w:t>Copertura dei tre temi non-brand sulle keyword del ledger, con almeno l'80% del volume gap ad alta intenzione rappresentato in campagna</w:t>
      </w:r>
    </w:p>
    <w:p>
      <w:pPr>
        <w:pStyle w:val="ListBullet"/>
      </w:pPr>
      <w:r>
        <w:t>Tasso di conversione non-brand nel range 0,8%-2,5% indicato per gli indipendenti, misurato per tema</w:t>
      </w:r>
    </w:p>
    <w:p>
      <w:pPr>
        <w:pStyle w:val="ListBullet"/>
      </w:pPr>
      <w:r>
        <w:t>ROAS non-brand nel range 2:1-5:1, letto separatamente dal brand e da Hotel Ads</w:t>
      </w:r>
    </w:p>
    <w:p>
      <w:pPr>
        <w:pStyle w:val="ListBullet"/>
      </w:pPr>
      <w:r>
        <w:t>Numero di termini di ricerca aggiunti a negative per ciclo di revisione settimanale/mensile</w:t>
      </w:r>
    </w:p>
    <w:p>
      <w:pPr>
        <w:spacing w:before="160" w:after="40"/>
      </w:pPr>
      <w:r>
        <w:rPr>
          <w:b/>
          <w:color w:val="2F5D62"/>
          <w:sz w:val="24"/>
        </w:rPr>
        <w:t>Note esecutive</w:t>
      </w:r>
    </w:p>
    <w:p>
      <w:r>
        <w:t>La corrispondenza esatta tra tema, annuncio e pagina di atterraggio è la condizione che rende leggibile la spesa: un tema che punta alla pagina sbagliata inquina sia la conversione sia la lettura del ROAS per tema. La revisione dei termini di ricerca resta l'attività operativa più importante del layer non-brand nelle prime settimane, perché è lì che si scoprono sia nuove negative sia varianti di domanda non ancora mappate nel ledger.</w:t>
      </w:r>
    </w:p>
    <w:p>
      <w:r>
        <w:br w:type="page"/>
      </w:r>
    </w:p>
    <w:p>
      <w:pPr>
        <w:spacing w:after="0"/>
      </w:pPr>
      <w:r>
        <w:rPr>
          <w:b/>
          <w:color w:val="2F5D62"/>
          <w:sz w:val="18"/>
        </w:rPr>
        <w:t>SEZIONE 05</w:t>
      </w:r>
    </w:p>
    <w:p>
      <w:pPr>
        <w:spacing w:after="200"/>
        <w:pBdr>
          <w:bottom w:val="single" w:sz="18" w:space="6" w:color="2F5D62"/>
        </w:pBdr>
      </w:pPr>
      <w:r>
        <w:rPr>
          <w:b/>
          <w:color w:val="1A1A2E"/>
          <w:sz w:val="40"/>
        </w:rPr>
        <w:t>Mercati e geo-targeting</w:t>
      </w:r>
    </w:p>
    <w:p>
      <w:pPr>
        <w:spacing w:before="160" w:after="40"/>
      </w:pPr>
      <w:r>
        <w:rPr>
          <w:b/>
          <w:color w:val="2F5D62"/>
          <w:sz w:val="24"/>
        </w:rPr>
        <w:t>Mercati per il geo-targeting (dal decision record della strategia)</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Mercato</w:t>
            </w:r>
          </w:p>
        </w:tc>
        <w:tc>
          <w:tcPr>
            <w:tcW w:type="dxa" w:w="1728"/>
            <w:shd w:val="clear" w:color="auto" w:fill="2F5D62"/>
          </w:tcPr>
          <w:p>
            <w:r>
              <w:rPr>
                <w:b/>
                <w:color w:val="FFFFFF"/>
                <w:sz w:val="19"/>
              </w:rPr>
              <w:t>Lingua</w:t>
            </w:r>
          </w:p>
        </w:tc>
        <w:tc>
          <w:tcPr>
            <w:tcW w:type="dxa" w:w="1728"/>
            <w:shd w:val="clear" w:color="auto" w:fill="2F5D62"/>
          </w:tcPr>
          <w:p>
            <w:r>
              <w:rPr>
                <w:b/>
                <w:color w:val="FFFFFF"/>
                <w:sz w:val="19"/>
              </w:rPr>
              <w:t>Stato</w:t>
            </w:r>
          </w:p>
        </w:tc>
        <w:tc>
          <w:tcPr>
            <w:tcW w:type="dxa" w:w="1728"/>
            <w:shd w:val="clear" w:color="auto" w:fill="2F5D62"/>
          </w:tcPr>
          <w:p>
            <w:r>
              <w:rPr>
                <w:b/>
                <w:color w:val="FFFFFF"/>
                <w:sz w:val="19"/>
              </w:rPr>
              <w:t>Finestra</w:t>
            </w:r>
          </w:p>
        </w:tc>
        <w:tc>
          <w:tcPr>
            <w:tcW w:type="dxa" w:w="1728"/>
            <w:shd w:val="clear" w:color="auto" w:fill="2F5D62"/>
          </w:tcPr>
          <w:p>
            <w:r>
              <w:rPr>
                <w:b/>
                <w:color w:val="FFFFFF"/>
                <w:sz w:val="19"/>
              </w:rPr>
              <w:t>Azione PPC</w:t>
            </w:r>
          </w:p>
        </w:tc>
      </w:tr>
      <w:tr>
        <w:tc>
          <w:tcPr>
            <w:tcW w:type="dxa" w:w="1728"/>
          </w:tcPr>
          <w:p>
            <w:r>
              <w:rPr>
                <w:sz w:val="19"/>
              </w:rPr>
              <w:t>United Kingdom</w:t>
            </w:r>
          </w:p>
        </w:tc>
        <w:tc>
          <w:tcPr>
            <w:tcW w:type="dxa" w:w="1728"/>
          </w:tcPr>
          <w:p>
            <w:r>
              <w:rPr>
                <w:sz w:val="19"/>
              </w:rPr>
              <w:t>inglese</w:t>
            </w:r>
          </w:p>
        </w:tc>
        <w:tc>
          <w:tcPr>
            <w:tcW w:type="dxa" w:w="1728"/>
          </w:tcPr>
          <w:p>
            <w:r>
              <w:rPr>
                <w:sz w:val="19"/>
              </w:rPr>
              <w:t>presente nel mix</w:t>
            </w:r>
          </w:p>
        </w:tc>
        <w:tc>
          <w:tcPr>
            <w:tcW w:type="dxa" w:w="1728"/>
          </w:tcPr>
          <w:p>
            <w:r>
              <w:rPr>
                <w:sz w:val="19"/>
              </w:rPr>
              <w:t>luglio→ottobre</w:t>
            </w:r>
          </w:p>
        </w:tc>
        <w:tc>
          <w:tcPr>
            <w:tcW w:type="dxa" w:w="1728"/>
          </w:tcPr>
          <w:p>
            <w:r>
              <w:rPr>
                <w:sz w:val="19"/>
              </w:rPr>
              <w:t>campagna in lingua nella finestra indicata</w:t>
            </w:r>
          </w:p>
        </w:tc>
      </w:tr>
      <w:tr>
        <w:tc>
          <w:tcPr>
            <w:tcW w:type="dxa" w:w="1728"/>
            <w:shd w:val="clear" w:color="auto" w:fill="EEF2F1"/>
          </w:tcPr>
          <w:p>
            <w:r>
              <w:rPr>
                <w:sz w:val="19"/>
              </w:rPr>
              <w:t>Poland</w:t>
            </w:r>
          </w:p>
        </w:tc>
        <w:tc>
          <w:tcPr>
            <w:tcW w:type="dxa" w:w="1728"/>
            <w:shd w:val="clear" w:color="auto" w:fill="EEF2F1"/>
          </w:tcPr>
          <w:p>
            <w:r>
              <w:rPr>
                <w:sz w:val="19"/>
              </w:rPr>
              <w:t>polacco</w:t>
            </w:r>
          </w:p>
        </w:tc>
        <w:tc>
          <w:tcPr>
            <w:tcW w:type="dxa" w:w="1728"/>
            <w:shd w:val="clear" w:color="auto" w:fill="EEF2F1"/>
          </w:tcPr>
          <w:p>
            <w:r>
              <w:rPr>
                <w:sz w:val="19"/>
              </w:rPr>
              <w:t>opportunità</w:t>
            </w:r>
          </w:p>
        </w:tc>
        <w:tc>
          <w:tcPr>
            <w:tcW w:type="dxa" w:w="1728"/>
            <w:shd w:val="clear" w:color="auto" w:fill="EEF2F1"/>
          </w:tcPr>
          <w:p>
            <w:r>
              <w:rPr>
                <w:sz w:val="19"/>
              </w:rPr>
              <w:t>luglio→ottobre</w:t>
            </w:r>
          </w:p>
        </w:tc>
        <w:tc>
          <w:tcPr>
            <w:tcW w:type="dxa" w:w="1728"/>
            <w:shd w:val="clear" w:color="auto" w:fill="EEF2F1"/>
          </w:tcPr>
          <w:p>
            <w:r>
              <w:rPr>
                <w:sz w:val="19"/>
              </w:rPr>
              <w:t>pilota in lingua a budget contenuto (ipotesi da testare)</w:t>
            </w:r>
          </w:p>
        </w:tc>
      </w:tr>
      <w:tr>
        <w:tc>
          <w:tcPr>
            <w:tcW w:type="dxa" w:w="1728"/>
          </w:tcPr>
          <w:p>
            <w:r>
              <w:rPr>
                <w:sz w:val="19"/>
              </w:rPr>
              <w:t>Germany</w:t>
            </w:r>
          </w:p>
        </w:tc>
        <w:tc>
          <w:tcPr>
            <w:tcW w:type="dxa" w:w="1728"/>
          </w:tcPr>
          <w:p>
            <w:r>
              <w:rPr>
                <w:sz w:val="19"/>
              </w:rPr>
              <w:t>tedesco</w:t>
            </w:r>
          </w:p>
        </w:tc>
        <w:tc>
          <w:tcPr>
            <w:tcW w:type="dxa" w:w="1728"/>
          </w:tcPr>
          <w:p>
            <w:r>
              <w:rPr>
                <w:sz w:val="19"/>
              </w:rPr>
              <w:t>presente nel mix</w:t>
            </w:r>
          </w:p>
        </w:tc>
        <w:tc>
          <w:tcPr>
            <w:tcW w:type="dxa" w:w="1728"/>
          </w:tcPr>
          <w:p>
            <w:r>
              <w:rPr>
                <w:sz w:val="19"/>
              </w:rPr>
              <w:t>luglio→ottobre</w:t>
            </w:r>
          </w:p>
        </w:tc>
        <w:tc>
          <w:tcPr>
            <w:tcW w:type="dxa" w:w="1728"/>
          </w:tcPr>
          <w:p>
            <w:r>
              <w:rPr>
                <w:sz w:val="19"/>
              </w:rPr>
              <w:t>campagna in lingua nella finestra indicata</w:t>
            </w:r>
          </w:p>
        </w:tc>
      </w:tr>
      <w:tr>
        <w:tc>
          <w:tcPr>
            <w:tcW w:type="dxa" w:w="1728"/>
            <w:shd w:val="clear" w:color="auto" w:fill="EEF2F1"/>
          </w:tcPr>
          <w:p>
            <w:r>
              <w:rPr>
                <w:sz w:val="19"/>
              </w:rPr>
              <w:t>Albania</w:t>
            </w:r>
          </w:p>
        </w:tc>
        <w:tc>
          <w:tcPr>
            <w:tcW w:type="dxa" w:w="1728"/>
            <w:shd w:val="clear" w:color="auto" w:fill="EEF2F1"/>
          </w:tcPr>
          <w:p>
            <w:r>
              <w:rPr>
                <w:sz w:val="19"/>
              </w:rPr>
              <w:t>albanese</w:t>
            </w:r>
          </w:p>
        </w:tc>
        <w:tc>
          <w:tcPr>
            <w:tcW w:type="dxa" w:w="1728"/>
            <w:shd w:val="clear" w:color="auto" w:fill="EEF2F1"/>
          </w:tcPr>
          <w:p>
            <w:r>
              <w:rPr>
                <w:sz w:val="19"/>
              </w:rPr>
              <w:t>opportunità</w:t>
            </w:r>
          </w:p>
        </w:tc>
        <w:tc>
          <w:tcPr>
            <w:tcW w:type="dxa" w:w="1728"/>
            <w:shd w:val="clear" w:color="auto" w:fill="EEF2F1"/>
          </w:tcPr>
          <w:p>
            <w:r>
              <w:rPr>
                <w:sz w:val="19"/>
              </w:rPr>
              <w:t>luglio→ottobre</w:t>
            </w:r>
          </w:p>
        </w:tc>
        <w:tc>
          <w:tcPr>
            <w:tcW w:type="dxa" w:w="1728"/>
            <w:shd w:val="clear" w:color="auto" w:fill="EEF2F1"/>
          </w:tcPr>
          <w:p>
            <w:r>
              <w:rPr>
                <w:sz w:val="19"/>
              </w:rPr>
              <w:t>pilota in lingua a budget contenuto (ipotesi da testare)</w:t>
            </w:r>
          </w:p>
        </w:tc>
      </w:tr>
      <w:tr>
        <w:tc>
          <w:tcPr>
            <w:tcW w:type="dxa" w:w="1728"/>
          </w:tcPr>
          <w:p>
            <w:r>
              <w:rPr>
                <w:sz w:val="19"/>
              </w:rPr>
              <w:t>Hungary</w:t>
            </w:r>
          </w:p>
        </w:tc>
        <w:tc>
          <w:tcPr>
            <w:tcW w:type="dxa" w:w="1728"/>
          </w:tcPr>
          <w:p>
            <w:r>
              <w:rPr>
                <w:sz w:val="19"/>
              </w:rPr>
              <w:t>ungherese</w:t>
            </w:r>
          </w:p>
        </w:tc>
        <w:tc>
          <w:tcPr>
            <w:tcW w:type="dxa" w:w="1728"/>
          </w:tcPr>
          <w:p>
            <w:r>
              <w:rPr>
                <w:sz w:val="19"/>
              </w:rPr>
              <w:t>opportunità</w:t>
            </w:r>
          </w:p>
        </w:tc>
        <w:tc>
          <w:tcPr>
            <w:tcW w:type="dxa" w:w="1728"/>
          </w:tcPr>
          <w:p>
            <w:r>
              <w:rPr>
                <w:sz w:val="19"/>
              </w:rPr>
              <w:t>luglio→ottobre</w:t>
            </w:r>
          </w:p>
        </w:tc>
        <w:tc>
          <w:tcPr>
            <w:tcW w:type="dxa" w:w="1728"/>
          </w:tcPr>
          <w:p>
            <w:r>
              <w:rPr>
                <w:sz w:val="19"/>
              </w:rPr>
              <w:t>pilota in lingua a budget contenuto (ipotesi da testare)</w:t>
            </w:r>
          </w:p>
        </w:tc>
      </w:tr>
      <w:tr>
        <w:tc>
          <w:tcPr>
            <w:tcW w:type="dxa" w:w="1728"/>
            <w:shd w:val="clear" w:color="auto" w:fill="EEF2F1"/>
          </w:tcPr>
          <w:p>
            <w:r>
              <w:rPr>
                <w:sz w:val="19"/>
              </w:rPr>
              <w:t>Belgium</w:t>
            </w:r>
          </w:p>
        </w:tc>
        <w:tc>
          <w:tcPr>
            <w:tcW w:type="dxa" w:w="1728"/>
            <w:shd w:val="clear" w:color="auto" w:fill="EEF2F1"/>
          </w:tcPr>
          <w:p>
            <w:r>
              <w:rPr>
                <w:sz w:val="19"/>
              </w:rPr>
              <w:t>olandese, francese</w:t>
            </w:r>
          </w:p>
        </w:tc>
        <w:tc>
          <w:tcPr>
            <w:tcW w:type="dxa" w:w="1728"/>
            <w:shd w:val="clear" w:color="auto" w:fill="EEF2F1"/>
          </w:tcPr>
          <w:p>
            <w:r>
              <w:rPr>
                <w:sz w:val="19"/>
              </w:rPr>
              <w:t>opportunità</w:t>
            </w:r>
          </w:p>
        </w:tc>
        <w:tc>
          <w:tcPr>
            <w:tcW w:type="dxa" w:w="1728"/>
            <w:shd w:val="clear" w:color="auto" w:fill="EEF2F1"/>
          </w:tcPr>
          <w:p>
            <w:r>
              <w:rPr>
                <w:sz w:val="19"/>
              </w:rPr>
              <w:t>—</w:t>
            </w:r>
          </w:p>
        </w:tc>
        <w:tc>
          <w:tcPr>
            <w:tcW w:type="dxa" w:w="1728"/>
            <w:shd w:val="clear" w:color="auto" w:fill="EEF2F1"/>
          </w:tcPr>
          <w:p>
            <w:r>
              <w:rPr>
                <w:sz w:val="19"/>
              </w:rPr>
              <w:t>pilota in lingua a budget contenuto (ipotesi da testare)</w:t>
            </w:r>
          </w:p>
        </w:tc>
      </w:tr>
      <w:tr>
        <w:tc>
          <w:tcPr>
            <w:tcW w:type="dxa" w:w="1728"/>
          </w:tcPr>
          <w:p>
            <w:r>
              <w:rPr>
                <w:sz w:val="19"/>
              </w:rPr>
              <w:t>France</w:t>
            </w:r>
          </w:p>
        </w:tc>
        <w:tc>
          <w:tcPr>
            <w:tcW w:type="dxa" w:w="1728"/>
          </w:tcPr>
          <w:p>
            <w:r>
              <w:rPr>
                <w:sz w:val="19"/>
              </w:rPr>
              <w:t>francese</w:t>
            </w:r>
          </w:p>
        </w:tc>
        <w:tc>
          <w:tcPr>
            <w:tcW w:type="dxa" w:w="1728"/>
          </w:tcPr>
          <w:p>
            <w:r>
              <w:rPr>
                <w:sz w:val="19"/>
              </w:rPr>
              <w:t>opportunità</w:t>
            </w:r>
          </w:p>
        </w:tc>
        <w:tc>
          <w:tcPr>
            <w:tcW w:type="dxa" w:w="1728"/>
          </w:tcPr>
          <w:p>
            <w:r>
              <w:rPr>
                <w:sz w:val="19"/>
              </w:rPr>
              <w:t>luglio→ottobre</w:t>
            </w:r>
          </w:p>
        </w:tc>
        <w:tc>
          <w:tcPr>
            <w:tcW w:type="dxa" w:w="1728"/>
          </w:tcPr>
          <w:p>
            <w:r>
              <w:rPr>
                <w:sz w:val="19"/>
              </w:rPr>
              <w:t>pilota in lingua a budget contenuto (ipotesi da testare)</w:t>
            </w:r>
          </w:p>
        </w:tc>
      </w:tr>
      <w:tr>
        <w:tc>
          <w:tcPr>
            <w:tcW w:type="dxa" w:w="1728"/>
            <w:shd w:val="clear" w:color="auto" w:fill="EEF2F1"/>
          </w:tcPr>
          <w:p>
            <w:r>
              <w:rPr>
                <w:sz w:val="19"/>
              </w:rPr>
              <w:t>Bulgaria</w:t>
            </w:r>
          </w:p>
        </w:tc>
        <w:tc>
          <w:tcPr>
            <w:tcW w:type="dxa" w:w="1728"/>
            <w:shd w:val="clear" w:color="auto" w:fill="EEF2F1"/>
          </w:tcPr>
          <w:p>
            <w:r>
              <w:rPr>
                <w:sz w:val="19"/>
              </w:rPr>
              <w:t>bulgaro</w:t>
            </w:r>
          </w:p>
        </w:tc>
        <w:tc>
          <w:tcPr>
            <w:tcW w:type="dxa" w:w="1728"/>
            <w:shd w:val="clear" w:color="auto" w:fill="EEF2F1"/>
          </w:tcPr>
          <w:p>
            <w:r>
              <w:rPr>
                <w:sz w:val="19"/>
              </w:rPr>
              <w:t>opportunità</w:t>
            </w:r>
          </w:p>
        </w:tc>
        <w:tc>
          <w:tcPr>
            <w:tcW w:type="dxa" w:w="1728"/>
            <w:shd w:val="clear" w:color="auto" w:fill="EEF2F1"/>
          </w:tcPr>
          <w:p>
            <w:r>
              <w:rPr>
                <w:sz w:val="19"/>
              </w:rPr>
              <w:t>luglio→ottobre</w:t>
            </w:r>
          </w:p>
        </w:tc>
        <w:tc>
          <w:tcPr>
            <w:tcW w:type="dxa" w:w="1728"/>
            <w:shd w:val="clear" w:color="auto" w:fill="EEF2F1"/>
          </w:tcPr>
          <w:p>
            <w:r>
              <w:rPr>
                <w:sz w:val="19"/>
              </w:rPr>
              <w:t>pilota in lingua a budget contenuto (ipotesi da testare)</w:t>
            </w:r>
          </w:p>
        </w:tc>
      </w:tr>
      <w:tr>
        <w:tc>
          <w:tcPr>
            <w:tcW w:type="dxa" w:w="1728"/>
          </w:tcPr>
          <w:p>
            <w:r>
              <w:rPr>
                <w:sz w:val="19"/>
              </w:rPr>
              <w:t>Lithuania</w:t>
            </w:r>
          </w:p>
        </w:tc>
        <w:tc>
          <w:tcPr>
            <w:tcW w:type="dxa" w:w="1728"/>
          </w:tcPr>
          <w:p>
            <w:r>
              <w:rPr>
                <w:sz w:val="19"/>
              </w:rPr>
              <w:t>lituano</w:t>
            </w:r>
          </w:p>
        </w:tc>
        <w:tc>
          <w:tcPr>
            <w:tcW w:type="dxa" w:w="1728"/>
          </w:tcPr>
          <w:p>
            <w:r>
              <w:rPr>
                <w:sz w:val="19"/>
              </w:rPr>
              <w:t>opportunità</w:t>
            </w:r>
          </w:p>
        </w:tc>
        <w:tc>
          <w:tcPr>
            <w:tcW w:type="dxa" w:w="1728"/>
          </w:tcPr>
          <w:p>
            <w:r>
              <w:rPr>
                <w:sz w:val="19"/>
              </w:rPr>
              <w:t>luglio→ottobre</w:t>
            </w:r>
          </w:p>
        </w:tc>
        <w:tc>
          <w:tcPr>
            <w:tcW w:type="dxa" w:w="1728"/>
          </w:tcPr>
          <w:p>
            <w:r>
              <w:rPr>
                <w:sz w:val="19"/>
              </w:rPr>
              <w:t>pilota in lingua a budget contenuto (ipotesi da testare)</w:t>
            </w:r>
          </w:p>
        </w:tc>
      </w:tr>
      <w:tr>
        <w:tc>
          <w:tcPr>
            <w:tcW w:type="dxa" w:w="1728"/>
            <w:shd w:val="clear" w:color="auto" w:fill="EEF2F1"/>
          </w:tcPr>
          <w:p>
            <w:r>
              <w:rPr>
                <w:sz w:val="19"/>
              </w:rPr>
              <w:t>Luxembourg</w:t>
            </w:r>
          </w:p>
        </w:tc>
        <w:tc>
          <w:tcPr>
            <w:tcW w:type="dxa" w:w="1728"/>
            <w:shd w:val="clear" w:color="auto" w:fill="EEF2F1"/>
          </w:tcPr>
          <w:p>
            <w:r>
              <w:rPr>
                <w:sz w:val="19"/>
              </w:rPr>
              <w:t>francese, tedesco, lussemburghese</w:t>
            </w:r>
          </w:p>
        </w:tc>
        <w:tc>
          <w:tcPr>
            <w:tcW w:type="dxa" w:w="1728"/>
            <w:shd w:val="clear" w:color="auto" w:fill="EEF2F1"/>
          </w:tcPr>
          <w:p>
            <w:r>
              <w:rPr>
                <w:sz w:val="19"/>
              </w:rPr>
              <w:t>presente nel mix</w:t>
            </w:r>
          </w:p>
        </w:tc>
        <w:tc>
          <w:tcPr>
            <w:tcW w:type="dxa" w:w="1728"/>
            <w:shd w:val="clear" w:color="auto" w:fill="EEF2F1"/>
          </w:tcPr>
          <w:p>
            <w:r>
              <w:rPr>
                <w:sz w:val="19"/>
              </w:rPr>
              <w:t>luglio→settembre</w:t>
            </w:r>
          </w:p>
        </w:tc>
        <w:tc>
          <w:tcPr>
            <w:tcW w:type="dxa" w:w="1728"/>
            <w:shd w:val="clear" w:color="auto" w:fill="EEF2F1"/>
          </w:tcPr>
          <w:p>
            <w:r>
              <w:rPr>
                <w:sz w:val="19"/>
              </w:rPr>
              <w:t>campagna in lingua nella finestra indicata</w:t>
            </w:r>
          </w:p>
        </w:tc>
      </w:tr>
      <w:tr>
        <w:tc>
          <w:tcPr>
            <w:tcW w:type="dxa" w:w="1728"/>
          </w:tcPr>
          <w:p>
            <w:r>
              <w:rPr>
                <w:sz w:val="19"/>
              </w:rPr>
              <w:t>Austria</w:t>
            </w:r>
          </w:p>
        </w:tc>
        <w:tc>
          <w:tcPr>
            <w:tcW w:type="dxa" w:w="1728"/>
          </w:tcPr>
          <w:p>
            <w:r>
              <w:rPr>
                <w:sz w:val="19"/>
              </w:rPr>
              <w:t>tedesco</w:t>
            </w:r>
          </w:p>
        </w:tc>
        <w:tc>
          <w:tcPr>
            <w:tcW w:type="dxa" w:w="1728"/>
          </w:tcPr>
          <w:p>
            <w:r>
              <w:rPr>
                <w:sz w:val="19"/>
              </w:rPr>
              <w:t>presente nel mix</w:t>
            </w:r>
          </w:p>
        </w:tc>
        <w:tc>
          <w:tcPr>
            <w:tcW w:type="dxa" w:w="1728"/>
          </w:tcPr>
          <w:p>
            <w:r>
              <w:rPr>
                <w:sz w:val="19"/>
              </w:rPr>
              <w:t>luglio→agosto</w:t>
            </w:r>
          </w:p>
        </w:tc>
        <w:tc>
          <w:tcPr>
            <w:tcW w:type="dxa" w:w="1728"/>
          </w:tcPr>
          <w:p>
            <w:r>
              <w:rPr>
                <w:sz w:val="19"/>
              </w:rPr>
              <w:t>campagna in lingua nella finestra indicata</w:t>
            </w:r>
          </w:p>
        </w:tc>
      </w:tr>
      <w:tr>
        <w:tc>
          <w:tcPr>
            <w:tcW w:type="dxa" w:w="1728"/>
            <w:shd w:val="clear" w:color="auto" w:fill="EEF2F1"/>
          </w:tcPr>
          <w:p>
            <w:r>
              <w:rPr>
                <w:sz w:val="19"/>
              </w:rPr>
              <w:t>Spain</w:t>
            </w:r>
          </w:p>
        </w:tc>
        <w:tc>
          <w:tcPr>
            <w:tcW w:type="dxa" w:w="1728"/>
            <w:shd w:val="clear" w:color="auto" w:fill="EEF2F1"/>
          </w:tcPr>
          <w:p>
            <w:r>
              <w:rPr>
                <w:sz w:val="19"/>
              </w:rPr>
              <w:t>spagnolo</w:t>
            </w:r>
          </w:p>
        </w:tc>
        <w:tc>
          <w:tcPr>
            <w:tcW w:type="dxa" w:w="1728"/>
            <w:shd w:val="clear" w:color="auto" w:fill="EEF2F1"/>
          </w:tcPr>
          <w:p>
            <w:r>
              <w:rPr>
                <w:sz w:val="19"/>
              </w:rPr>
              <w:t>opportunità</w:t>
            </w:r>
          </w:p>
        </w:tc>
        <w:tc>
          <w:tcPr>
            <w:tcW w:type="dxa" w:w="1728"/>
            <w:shd w:val="clear" w:color="auto" w:fill="EEF2F1"/>
          </w:tcPr>
          <w:p>
            <w:r>
              <w:rPr>
                <w:sz w:val="19"/>
              </w:rPr>
              <w:t>—</w:t>
            </w:r>
          </w:p>
        </w:tc>
        <w:tc>
          <w:tcPr>
            <w:tcW w:type="dxa" w:w="1728"/>
            <w:shd w:val="clear" w:color="auto" w:fill="EEF2F1"/>
          </w:tcPr>
          <w:p>
            <w:r>
              <w:rPr>
                <w:sz w:val="19"/>
              </w:rPr>
              <w:t>pilota in lingua a budget contenuto (ipotesi da testare)</w:t>
            </w:r>
          </w:p>
        </w:tc>
      </w:tr>
      <w:tr>
        <w:tc>
          <w:tcPr>
            <w:tcW w:type="dxa" w:w="1728"/>
          </w:tcPr>
          <w:p>
            <w:r>
              <w:rPr>
                <w:sz w:val="19"/>
              </w:rPr>
              <w:t>Czechia</w:t>
            </w:r>
          </w:p>
        </w:tc>
        <w:tc>
          <w:tcPr>
            <w:tcW w:type="dxa" w:w="1728"/>
          </w:tcPr>
          <w:p>
            <w:r>
              <w:rPr>
                <w:sz w:val="19"/>
              </w:rPr>
              <w:t>ceco</w:t>
            </w:r>
          </w:p>
        </w:tc>
        <w:tc>
          <w:tcPr>
            <w:tcW w:type="dxa" w:w="1728"/>
          </w:tcPr>
          <w:p>
            <w:r>
              <w:rPr>
                <w:sz w:val="19"/>
              </w:rPr>
              <w:t>opportunità</w:t>
            </w:r>
          </w:p>
        </w:tc>
        <w:tc>
          <w:tcPr>
            <w:tcW w:type="dxa" w:w="1728"/>
          </w:tcPr>
          <w:p>
            <w:r>
              <w:rPr>
                <w:sz w:val="19"/>
              </w:rPr>
              <w:t>luglio→ottobre</w:t>
            </w:r>
          </w:p>
        </w:tc>
        <w:tc>
          <w:tcPr>
            <w:tcW w:type="dxa" w:w="1728"/>
          </w:tcPr>
          <w:p>
            <w:r>
              <w:rPr>
                <w:sz w:val="19"/>
              </w:rPr>
              <w:t>pilota in lingua a budget contenuto (ipotesi da testare)</w:t>
            </w:r>
          </w:p>
        </w:tc>
      </w:tr>
      <w:tr>
        <w:tc>
          <w:tcPr>
            <w:tcW w:type="dxa" w:w="1728"/>
            <w:shd w:val="clear" w:color="auto" w:fill="EEF2F1"/>
          </w:tcPr>
          <w:p>
            <w:r>
              <w:rPr>
                <w:sz w:val="19"/>
              </w:rPr>
              <w:t>Moldova</w:t>
            </w:r>
          </w:p>
        </w:tc>
        <w:tc>
          <w:tcPr>
            <w:tcW w:type="dxa" w:w="1728"/>
            <w:shd w:val="clear" w:color="auto" w:fill="EEF2F1"/>
          </w:tcPr>
          <w:p>
            <w:r>
              <w:rPr>
                <w:sz w:val="19"/>
              </w:rPr>
              <w:t>rumeno, russo</w:t>
            </w:r>
          </w:p>
        </w:tc>
        <w:tc>
          <w:tcPr>
            <w:tcW w:type="dxa" w:w="1728"/>
            <w:shd w:val="clear" w:color="auto" w:fill="EEF2F1"/>
          </w:tcPr>
          <w:p>
            <w:r>
              <w:rPr>
                <w:sz w:val="19"/>
              </w:rPr>
              <w:t>opportunità</w:t>
            </w:r>
          </w:p>
        </w:tc>
        <w:tc>
          <w:tcPr>
            <w:tcW w:type="dxa" w:w="1728"/>
            <w:shd w:val="clear" w:color="auto" w:fill="EEF2F1"/>
          </w:tcPr>
          <w:p>
            <w:r>
              <w:rPr>
                <w:sz w:val="19"/>
              </w:rPr>
              <w:t>luglio→settembre</w:t>
            </w:r>
          </w:p>
        </w:tc>
        <w:tc>
          <w:tcPr>
            <w:tcW w:type="dxa" w:w="1728"/>
            <w:shd w:val="clear" w:color="auto" w:fill="EEF2F1"/>
          </w:tcPr>
          <w:p>
            <w:r>
              <w:rPr>
                <w:sz w:val="19"/>
              </w:rPr>
              <w:t>pilota in lingua a budget contenuto (ipotesi da testare)</w:t>
            </w:r>
          </w:p>
        </w:tc>
      </w:tr>
    </w:tbl>
    <w:p>
      <w:pPr>
        <w:spacing w:after="160"/>
      </w:pPr>
    </w:p>
    <w:p>
      <w:r>
        <w:t>Il mix ospiti reale guida la geo-targeting: l'Italia resta il mercato di gran lunga prevalente e ancora il perno della copertura non-brand e del brand protection, mentre tedesco e inglese giustificano campagne linguistiche dedicate perché già presenti nel mix e con margine di crescita dichiarato dal Piano Strategico. Francese si osserva senza campagna dedicata. Nessun mercato flight-only viene aperto: la struttura non ha un profilo che lo richieda, e ogni allargamento geografico resta condizionato alla validazione dei mercati già in mix.</w:t>
      </w:r>
    </w:p>
    <w:p>
      <w:pPr>
        <w:spacing w:before="160" w:after="40"/>
      </w:pPr>
      <w:r>
        <w:rPr>
          <w:b/>
          <w:color w:val="2F5D62"/>
          <w:sz w:val="24"/>
        </w:rPr>
        <w:t>Obiettivi misurabili</w:t>
      </w:r>
    </w:p>
    <w:p>
      <w:pPr>
        <w:pStyle w:val="ListBullet"/>
      </w:pPr>
      <w:r>
        <w:t>Attivare campagna Search non-brand in lingua italiana come priorità di volume, allineata al calendario di pacing già definito</w:t>
      </w:r>
    </w:p>
    <w:p>
      <w:pPr>
        <w:pStyle w:val="ListBullet"/>
      </w:pPr>
      <w:r>
        <w:t>Attivare due campagne Search non-brand in lingua tedesca e inglese, con creatività e landing coerenti con il segmento coppia/relax e famiglia</w:t>
      </w:r>
    </w:p>
    <w:p>
      <w:pPr>
        <w:pStyle w:val="ListBullet"/>
      </w:pPr>
      <w:r>
        <w:t>Impostare il targeting geografico su Italia come priorità assoluta, con raggio di prossimità per la domanda locale/regionale (gite, weekend, eventi) e copertura nazionale per la domanda di vacanza</w:t>
      </w:r>
    </w:p>
    <w:p>
      <w:pPr>
        <w:pStyle w:val="ListBullet"/>
      </w:pPr>
      <w:r>
        <w:t>Impostare targeting geografico separato per Germania, Austria, Svizzera tedesca (mercato DACH) e per Regno Unito, coerente con le rispettive finestre di prenotazione</w:t>
      </w:r>
    </w:p>
    <w:p>
      <w:pPr>
        <w:pStyle w:val="ListBullet"/>
      </w:pPr>
      <w:r>
        <w:t>Non aprire campagne dedicate su francese, russo, spagnolo, polacco e cinese: volumi nel mix insufficienti per una campagna a sé, restano nella campagna italiana o vengono ignorati in fase di targeting</w:t>
      </w:r>
    </w:p>
    <w:p>
      <w:pPr>
        <w:spacing w:before="160" w:after="40"/>
      </w:pPr>
      <w:r>
        <w:rPr>
          <w:b/>
          <w:color w:val="2F5D62"/>
          <w:sz w:val="24"/>
        </w:rPr>
        <w:t>Azioni</w:t>
      </w:r>
    </w:p>
    <w:p>
      <w:r>
        <w:t>La campagna Search non-brand in italiano copre l'intero territorio nazionale, senza restringere il raggio: la clientela italiana della struttura non è solo di prossimità, ma include chi organizza la vacanza al mare con largo anticipo da altre regioni. Sopra questa base nazionale si costruisce un affinamento di prossimità per intercettare la domanda a breve raggio (gite, weekend, eventi in Riviera), da trattare come strato aggiuntivo e non come sostituto della copertura nazionale. La lingua tedesca merita una campagna propria non per volume assoluto nel mix attuale, ma perché la struttura mostra già una reputazione forte e verificata sul canale di riferimento del mercato di lingua tedesca, a fronte di una quota ancora minoritaria sul totale ospiti: è il segnale più chiaro, tra i mercati esteri, di domanda latente non ancora intercettata dal canale a pagamento. La campagna in inglese copre il mercato britannico e resta impostata su creatività e landing page in lingua, con enfasi sul prodotto benessere/spa e sulla posizione fronte mare, i due USP più trasferibili a un pubblico internazionale. Per entrambe le campagne linguistiche il periodo di attivazione anticipa la finestra di prenotazione propria di ciascun mercato, spostando la pressione pubblicitaria dalla stagione piena verso l'anticipo, coerentemente con la logica di pacing già stabilita: i mercati esteri scelgono la vacanza con mesi di anticipo rispetto all'Italia, e comunicare quando la decisione è già presa significa arrivare tardi. Nessuna campagna geografica autonoma viene aperta per francese, russo, spagnolo, polacco o cinese: i volumi rilevati nel mix ospiti non giustificano una struttura dedicata, e disperdere budget su microtarget non validati toglierebbe risorse ai due layer che stanno già dimostrando domanda reale. Il quadro resta comunque aperto a revisione: se il cliente fornisce dati di prenotazione diretta che mostrano una crescita organica su uno di questi mercati, la decisione va riaperta con budget incrementale dedicato, non dirottato dai layer già attivi.</w:t>
      </w:r>
    </w:p>
    <w:p>
      <w:pPr>
        <w:spacing w:before="160" w:after="40"/>
      </w:pPr>
      <w:r>
        <w:rPr>
          <w:b/>
          <w:color w:val="2F5D62"/>
          <w:sz w:val="24"/>
        </w:rPr>
        <w:t>KPI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Mercato</w:t>
            </w:r>
          </w:p>
        </w:tc>
        <w:tc>
          <w:tcPr>
            <w:tcW w:type="dxa" w:w="2160"/>
            <w:shd w:val="clear" w:color="auto" w:fill="2F5D62"/>
          </w:tcPr>
          <w:p>
            <w:r>
              <w:rPr>
                <w:b/>
                <w:color w:val="FFFFFF"/>
                <w:sz w:val="19"/>
              </w:rPr>
              <w:t>Lingua campagna</w:t>
            </w:r>
          </w:p>
        </w:tc>
        <w:tc>
          <w:tcPr>
            <w:tcW w:type="dxa" w:w="2160"/>
            <w:shd w:val="clear" w:color="auto" w:fill="2F5D62"/>
          </w:tcPr>
          <w:p>
            <w:r>
              <w:rPr>
                <w:b/>
                <w:color w:val="FFFFFF"/>
                <w:sz w:val="19"/>
              </w:rPr>
              <w:t>Priorità</w:t>
            </w:r>
          </w:p>
        </w:tc>
        <w:tc>
          <w:tcPr>
            <w:tcW w:type="dxa" w:w="2160"/>
            <w:shd w:val="clear" w:color="auto" w:fill="2F5D62"/>
          </w:tcPr>
          <w:p>
            <w:r>
              <w:rPr>
                <w:b/>
                <w:color w:val="FFFFFF"/>
                <w:sz w:val="19"/>
              </w:rPr>
              <w:t>Base decisionale</w:t>
            </w:r>
          </w:p>
        </w:tc>
      </w:tr>
      <w:tr>
        <w:tc>
          <w:tcPr>
            <w:tcW w:type="dxa" w:w="2160"/>
          </w:tcPr>
          <w:p>
            <w:r>
              <w:rPr>
                <w:sz w:val="19"/>
              </w:rPr>
              <w:t>Italia</w:t>
            </w:r>
          </w:p>
        </w:tc>
        <w:tc>
          <w:tcPr>
            <w:tcW w:type="dxa" w:w="2160"/>
          </w:tcPr>
          <w:p>
            <w:r>
              <w:rPr>
                <w:sz w:val="19"/>
              </w:rPr>
              <w:t>Italiano</w:t>
            </w:r>
          </w:p>
        </w:tc>
        <w:tc>
          <w:tcPr>
            <w:tcW w:type="dxa" w:w="2160"/>
          </w:tcPr>
          <w:p>
            <w:r>
              <w:rPr>
                <w:sz w:val="19"/>
              </w:rPr>
              <w:t>Prioritaria, copertura nazionale + prossimità</w:t>
            </w:r>
          </w:p>
        </w:tc>
        <w:tc>
          <w:tcPr>
            <w:tcW w:type="dxa" w:w="2160"/>
          </w:tcPr>
          <w:p>
            <w:r>
              <w:rPr>
                <w:sz w:val="19"/>
              </w:rPr>
              <w:t>Quota nettamente prevalente nel mix ospiti reale</w:t>
            </w:r>
          </w:p>
        </w:tc>
      </w:tr>
      <w:tr>
        <w:tc>
          <w:tcPr>
            <w:tcW w:type="dxa" w:w="2160"/>
            <w:shd w:val="clear" w:color="auto" w:fill="EEF2F1"/>
          </w:tcPr>
          <w:p>
            <w:r>
              <w:rPr>
                <w:sz w:val="19"/>
              </w:rPr>
              <w:t>Germania / Austria / Svizzera tedesca</w:t>
            </w:r>
          </w:p>
        </w:tc>
        <w:tc>
          <w:tcPr>
            <w:tcW w:type="dxa" w:w="2160"/>
            <w:shd w:val="clear" w:color="auto" w:fill="EEF2F1"/>
          </w:tcPr>
          <w:p>
            <w:r>
              <w:rPr>
                <w:sz w:val="19"/>
              </w:rPr>
              <w:t>Tedesco</w:t>
            </w:r>
          </w:p>
        </w:tc>
        <w:tc>
          <w:tcPr>
            <w:tcW w:type="dxa" w:w="2160"/>
            <w:shd w:val="clear" w:color="auto" w:fill="EEF2F1"/>
          </w:tcPr>
          <w:p>
            <w:r>
              <w:rPr>
                <w:sz w:val="19"/>
              </w:rPr>
              <w:t>Pilota strutturato, anticipo su finestra di prenotazione lunga</w:t>
            </w:r>
          </w:p>
        </w:tc>
        <w:tc>
          <w:tcPr>
            <w:tcW w:type="dxa" w:w="2160"/>
            <w:shd w:val="clear" w:color="auto" w:fill="EEF2F1"/>
          </w:tcPr>
          <w:p>
            <w:r>
              <w:rPr>
                <w:sz w:val="19"/>
              </w:rPr>
              <w:t>Quota minoritaria nel mix ma reputazione forte e verificata sul canale di riferimento del mercato</w:t>
            </w:r>
          </w:p>
        </w:tc>
      </w:tr>
      <w:tr>
        <w:tc>
          <w:tcPr>
            <w:tcW w:type="dxa" w:w="2160"/>
          </w:tcPr>
          <w:p>
            <w:r>
              <w:rPr>
                <w:sz w:val="19"/>
              </w:rPr>
              <w:t>Regno Unito</w:t>
            </w:r>
          </w:p>
        </w:tc>
        <w:tc>
          <w:tcPr>
            <w:tcW w:type="dxa" w:w="2160"/>
          </w:tcPr>
          <w:p>
            <w:r>
              <w:rPr>
                <w:sz w:val="19"/>
              </w:rPr>
              <w:t>Inglese</w:t>
            </w:r>
          </w:p>
        </w:tc>
        <w:tc>
          <w:tcPr>
            <w:tcW w:type="dxa" w:w="2160"/>
          </w:tcPr>
          <w:p>
            <w:r>
              <w:rPr>
                <w:sz w:val="19"/>
              </w:rPr>
              <w:t>Pilota contenuto, anticipo su finestra di prenotazione</w:t>
            </w:r>
          </w:p>
        </w:tc>
        <w:tc>
          <w:tcPr>
            <w:tcW w:type="dxa" w:w="2160"/>
          </w:tcPr>
          <w:p>
            <w:r>
              <w:rPr>
                <w:sz w:val="19"/>
              </w:rPr>
              <w:t>Presenza nel mix ospiti, mercato con lead time tipicamente lungo</w:t>
            </w:r>
          </w:p>
        </w:tc>
      </w:tr>
      <w:tr>
        <w:tc>
          <w:tcPr>
            <w:tcW w:type="dxa" w:w="2160"/>
            <w:shd w:val="clear" w:color="auto" w:fill="EEF2F1"/>
          </w:tcPr>
          <w:p>
            <w:r>
              <w:rPr>
                <w:sz w:val="19"/>
              </w:rPr>
              <w:t>Francia / altri mercati minori</w:t>
            </w:r>
          </w:p>
        </w:tc>
        <w:tc>
          <w:tcPr>
            <w:tcW w:type="dxa" w:w="2160"/>
            <w:shd w:val="clear" w:color="auto" w:fill="EEF2F1"/>
          </w:tcPr>
          <w:p>
            <w:r>
              <w:rPr>
                <w:sz w:val="19"/>
              </w:rPr>
              <w:t>Nessuna campagna dedicata</w:t>
            </w:r>
          </w:p>
        </w:tc>
        <w:tc>
          <w:tcPr>
            <w:tcW w:type="dxa" w:w="2160"/>
            <w:shd w:val="clear" w:color="auto" w:fill="EEF2F1"/>
          </w:tcPr>
          <w:p>
            <w:r>
              <w:rPr>
                <w:sz w:val="19"/>
              </w:rPr>
              <w:t>Non attivato in questa fase</w:t>
            </w:r>
          </w:p>
        </w:tc>
        <w:tc>
          <w:tcPr>
            <w:tcW w:type="dxa" w:w="2160"/>
            <w:shd w:val="clear" w:color="auto" w:fill="EEF2F1"/>
          </w:tcPr>
          <w:p>
            <w:r>
              <w:rPr>
                <w:sz w:val="19"/>
              </w:rPr>
              <w:t>Volumi nel mix insufficienti a giustificare una campagna a sé</w:t>
            </w:r>
          </w:p>
        </w:tc>
      </w:tr>
    </w:tbl>
    <w:p>
      <w:pPr>
        <w:spacing w:after="160"/>
      </w:pPr>
    </w:p>
    <w:p>
      <w:pPr>
        <w:spacing w:before="160" w:after="40"/>
      </w:pPr>
      <w:r>
        <w:rPr>
          <w:b/>
          <w:color w:val="2F5D62"/>
          <w:sz w:val="24"/>
        </w:rPr>
        <w:t>Note esecutive</w:t>
      </w:r>
    </w:p>
    <w:p>
      <w:pPr>
        <w:pStyle w:val="ListBullet"/>
      </w:pPr>
      <w:r>
        <w:t>Il targeting di prossimità sull'Italia va costruito come raggio attorno alla destinazione, non come sostituto della copertura nazionale: le due domande (gita breve e vacanza programmata) restano distinte e non si escludono a vicenda</w:t>
      </w:r>
    </w:p>
    <w:p>
      <w:pPr>
        <w:pStyle w:val="ListBullet"/>
      </w:pPr>
      <w:r>
        <w:t>Le landing page delle campagne in tedesco e inglese devono esistere in lingua e non solo in traduzione automatica del testo italiano: la coerenza linguistica tra annuncio e pagina di atterraggio è condizione minima di credibilità per un ospite internazionale</w:t>
      </w:r>
    </w:p>
    <w:p>
      <w:pPr>
        <w:pStyle w:val="ListBullet"/>
      </w:pPr>
      <w:r>
        <w:t>Ogni apertura di un nuovo mercato oltre a quelli qui elencati richiede una verifica preliminare sul mix ospiti reale del cliente: non si aggiungono geografie per ipotesi non supportata dal profilo attuale della struttura</w:t>
      </w:r>
    </w:p>
    <w:p>
      <w:r>
        <w:br w:type="page"/>
      </w:r>
    </w:p>
    <w:p>
      <w:pPr>
        <w:spacing w:after="0"/>
      </w:pPr>
      <w:r>
        <w:rPr>
          <w:b/>
          <w:color w:val="2F5D62"/>
          <w:sz w:val="18"/>
        </w:rPr>
        <w:t>SEZIONE 06</w:t>
      </w:r>
    </w:p>
    <w:p>
      <w:pPr>
        <w:spacing w:after="200"/>
        <w:pBdr>
          <w:bottom w:val="single" w:sz="18" w:space="6" w:color="2F5D62"/>
        </w:pBdr>
      </w:pPr>
      <w:r>
        <w:rPr>
          <w:b/>
          <w:color w:val="1A1A2E"/>
          <w:sz w:val="40"/>
        </w:rPr>
        <w:t>Calendario e pacing</w:t>
      </w:r>
    </w:p>
    <w:p>
      <w:pPr>
        <w:spacing w:before="160" w:after="40"/>
      </w:pPr>
      <w:r>
        <w:rPr>
          <w:b/>
          <w:color w:val="2F5D62"/>
          <w:sz w:val="24"/>
        </w:rPr>
        <w:t>Distribuzione mensile della domanda di ricerca (Keyword Planner, quota % sul totale annuo)</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Mese</w:t>
            </w:r>
          </w:p>
        </w:tc>
        <w:tc>
          <w:tcPr>
            <w:tcW w:type="dxa" w:w="4320"/>
            <w:shd w:val="clear" w:color="auto" w:fill="2F5D62"/>
          </w:tcPr>
          <w:p>
            <w:r>
              <w:rPr>
                <w:b/>
                <w:color w:val="FFFFFF"/>
                <w:sz w:val="19"/>
              </w:rPr>
              <w:t>Quota domanda</w:t>
            </w:r>
          </w:p>
        </w:tc>
      </w:tr>
      <w:tr>
        <w:tc>
          <w:tcPr>
            <w:tcW w:type="dxa" w:w="4320"/>
          </w:tcPr>
          <w:p>
            <w:r>
              <w:rPr>
                <w:sz w:val="19"/>
              </w:rPr>
              <w:t>gen</w:t>
            </w:r>
          </w:p>
        </w:tc>
        <w:tc>
          <w:tcPr>
            <w:tcW w:type="dxa" w:w="4320"/>
          </w:tcPr>
          <w:p>
            <w:r>
              <w:rPr>
                <w:sz w:val="19"/>
              </w:rPr>
              <w:t>5,4%</w:t>
            </w:r>
          </w:p>
        </w:tc>
      </w:tr>
      <w:tr>
        <w:tc>
          <w:tcPr>
            <w:tcW w:type="dxa" w:w="4320"/>
            <w:shd w:val="clear" w:color="auto" w:fill="EEF2F1"/>
          </w:tcPr>
          <w:p>
            <w:r>
              <w:rPr>
                <w:sz w:val="19"/>
              </w:rPr>
              <w:t>feb</w:t>
            </w:r>
          </w:p>
        </w:tc>
        <w:tc>
          <w:tcPr>
            <w:tcW w:type="dxa" w:w="4320"/>
            <w:shd w:val="clear" w:color="auto" w:fill="EEF2F1"/>
          </w:tcPr>
          <w:p>
            <w:r>
              <w:rPr>
                <w:sz w:val="19"/>
              </w:rPr>
              <w:t>5,3%</w:t>
            </w:r>
          </w:p>
        </w:tc>
      </w:tr>
      <w:tr>
        <w:tc>
          <w:tcPr>
            <w:tcW w:type="dxa" w:w="4320"/>
          </w:tcPr>
          <w:p>
            <w:r>
              <w:rPr>
                <w:sz w:val="19"/>
              </w:rPr>
              <w:t>mar</w:t>
            </w:r>
          </w:p>
        </w:tc>
        <w:tc>
          <w:tcPr>
            <w:tcW w:type="dxa" w:w="4320"/>
          </w:tcPr>
          <w:p>
            <w:r>
              <w:rPr>
                <w:sz w:val="19"/>
              </w:rPr>
              <w:t>7,0%</w:t>
            </w:r>
          </w:p>
        </w:tc>
      </w:tr>
      <w:tr>
        <w:tc>
          <w:tcPr>
            <w:tcW w:type="dxa" w:w="4320"/>
            <w:shd w:val="clear" w:color="auto" w:fill="EEF2F1"/>
          </w:tcPr>
          <w:p>
            <w:r>
              <w:rPr>
                <w:sz w:val="19"/>
              </w:rPr>
              <w:t>apr</w:t>
            </w:r>
          </w:p>
        </w:tc>
        <w:tc>
          <w:tcPr>
            <w:tcW w:type="dxa" w:w="4320"/>
            <w:shd w:val="clear" w:color="auto" w:fill="EEF2F1"/>
          </w:tcPr>
          <w:p>
            <w:r>
              <w:rPr>
                <w:sz w:val="19"/>
              </w:rPr>
              <w:t>8,0%</w:t>
            </w:r>
          </w:p>
        </w:tc>
      </w:tr>
      <w:tr>
        <w:tc>
          <w:tcPr>
            <w:tcW w:type="dxa" w:w="4320"/>
          </w:tcPr>
          <w:p>
            <w:r>
              <w:rPr>
                <w:sz w:val="19"/>
              </w:rPr>
              <w:t>mag</w:t>
            </w:r>
          </w:p>
        </w:tc>
        <w:tc>
          <w:tcPr>
            <w:tcW w:type="dxa" w:w="4320"/>
          </w:tcPr>
          <w:p>
            <w:r>
              <w:rPr>
                <w:sz w:val="19"/>
              </w:rPr>
              <w:t>10,9%</w:t>
            </w:r>
          </w:p>
        </w:tc>
      </w:tr>
      <w:tr>
        <w:tc>
          <w:tcPr>
            <w:tcW w:type="dxa" w:w="4320"/>
            <w:shd w:val="clear" w:color="auto" w:fill="EEF2F1"/>
          </w:tcPr>
          <w:p>
            <w:r>
              <w:rPr>
                <w:sz w:val="19"/>
              </w:rPr>
              <w:t>giu</w:t>
            </w:r>
          </w:p>
        </w:tc>
        <w:tc>
          <w:tcPr>
            <w:tcW w:type="dxa" w:w="4320"/>
            <w:shd w:val="clear" w:color="auto" w:fill="EEF2F1"/>
          </w:tcPr>
          <w:p>
            <w:r>
              <w:rPr>
                <w:sz w:val="19"/>
              </w:rPr>
              <w:t>15,8%</w:t>
            </w:r>
          </w:p>
        </w:tc>
      </w:tr>
      <w:tr>
        <w:tc>
          <w:tcPr>
            <w:tcW w:type="dxa" w:w="4320"/>
          </w:tcPr>
          <w:p>
            <w:r>
              <w:rPr>
                <w:sz w:val="19"/>
              </w:rPr>
              <w:t>lug</w:t>
            </w:r>
          </w:p>
        </w:tc>
        <w:tc>
          <w:tcPr>
            <w:tcW w:type="dxa" w:w="4320"/>
          </w:tcPr>
          <w:p>
            <w:r>
              <w:rPr>
                <w:sz w:val="19"/>
              </w:rPr>
              <w:t>16,4%</w:t>
            </w:r>
          </w:p>
        </w:tc>
      </w:tr>
      <w:tr>
        <w:tc>
          <w:tcPr>
            <w:tcW w:type="dxa" w:w="4320"/>
            <w:shd w:val="clear" w:color="auto" w:fill="EEF2F1"/>
          </w:tcPr>
          <w:p>
            <w:r>
              <w:rPr>
                <w:sz w:val="19"/>
              </w:rPr>
              <w:t>ago</w:t>
            </w:r>
          </w:p>
        </w:tc>
        <w:tc>
          <w:tcPr>
            <w:tcW w:type="dxa" w:w="4320"/>
            <w:shd w:val="clear" w:color="auto" w:fill="EEF2F1"/>
          </w:tcPr>
          <w:p>
            <w:r>
              <w:rPr>
                <w:sz w:val="19"/>
              </w:rPr>
              <w:t>15,4%</w:t>
            </w:r>
          </w:p>
        </w:tc>
      </w:tr>
      <w:tr>
        <w:tc>
          <w:tcPr>
            <w:tcW w:type="dxa" w:w="4320"/>
          </w:tcPr>
          <w:p>
            <w:r>
              <w:rPr>
                <w:sz w:val="19"/>
              </w:rPr>
              <w:t>set</w:t>
            </w:r>
          </w:p>
        </w:tc>
        <w:tc>
          <w:tcPr>
            <w:tcW w:type="dxa" w:w="4320"/>
          </w:tcPr>
          <w:p>
            <w:r>
              <w:rPr>
                <w:sz w:val="19"/>
              </w:rPr>
              <w:t>5,6%</w:t>
            </w:r>
          </w:p>
        </w:tc>
      </w:tr>
      <w:tr>
        <w:tc>
          <w:tcPr>
            <w:tcW w:type="dxa" w:w="4320"/>
            <w:shd w:val="clear" w:color="auto" w:fill="EEF2F1"/>
          </w:tcPr>
          <w:p>
            <w:r>
              <w:rPr>
                <w:sz w:val="19"/>
              </w:rPr>
              <w:t>ott</w:t>
            </w:r>
          </w:p>
        </w:tc>
        <w:tc>
          <w:tcPr>
            <w:tcW w:type="dxa" w:w="4320"/>
            <w:shd w:val="clear" w:color="auto" w:fill="EEF2F1"/>
          </w:tcPr>
          <w:p>
            <w:r>
              <w:rPr>
                <w:sz w:val="19"/>
              </w:rPr>
              <w:t>3,0%</w:t>
            </w:r>
          </w:p>
        </w:tc>
      </w:tr>
      <w:tr>
        <w:tc>
          <w:tcPr>
            <w:tcW w:type="dxa" w:w="4320"/>
          </w:tcPr>
          <w:p>
            <w:r>
              <w:rPr>
                <w:sz w:val="19"/>
              </w:rPr>
              <w:t>nov</w:t>
            </w:r>
          </w:p>
        </w:tc>
        <w:tc>
          <w:tcPr>
            <w:tcW w:type="dxa" w:w="4320"/>
          </w:tcPr>
          <w:p>
            <w:r>
              <w:rPr>
                <w:sz w:val="19"/>
              </w:rPr>
              <w:t>3,1%</w:t>
            </w:r>
          </w:p>
        </w:tc>
      </w:tr>
      <w:tr>
        <w:tc>
          <w:tcPr>
            <w:tcW w:type="dxa" w:w="4320"/>
            <w:shd w:val="clear" w:color="auto" w:fill="EEF2F1"/>
          </w:tcPr>
          <w:p>
            <w:r>
              <w:rPr>
                <w:sz w:val="19"/>
              </w:rPr>
              <w:t>dic</w:t>
            </w:r>
          </w:p>
        </w:tc>
        <w:tc>
          <w:tcPr>
            <w:tcW w:type="dxa" w:w="4320"/>
            <w:shd w:val="clear" w:color="auto" w:fill="EEF2F1"/>
          </w:tcPr>
          <w:p>
            <w:r>
              <w:rPr>
                <w:sz w:val="19"/>
              </w:rPr>
              <w:t>4,0%</w:t>
            </w:r>
          </w:p>
        </w:tc>
      </w:tr>
    </w:tbl>
    <w:p>
      <w:pPr>
        <w:spacing w:after="160"/>
      </w:pPr>
    </w:p>
    <w:p>
      <w:r>
        <w:t>La spesa si concentra con un mese di anticipo sulla domanda (finestra di prenotazione, non date di soggiorno): mesi di picco spesa mag, giu, lug.</w:t>
      </w:r>
    </w:p>
    <w:p>
      <w:r>
        <w:t>L'Hotel Ambasciatori è una struttura stagionale: il calendario media non funziona, perché la domanda vera si forma con largo anticipo rispetto alla stagione e i mesi di picco spesa già individuati — maggio, giugno, luglio — anticipano la finestra di prenotazione, non le date di soggiorno. Il pacing va quindi letto in due tempi: un periodo di costruzione a budget contenuto, dove si presidia il marchio e si prepara il non-brand, e un periodo di spinta dove il non-brand e Google Hotel Ads salgono di intensità perché la domanda è già aperta. Ogni salita o discesa di budget è comandata da un innesco (apertura di una finestra di mercato, apertura vendite, chiusura struttura), non da una data fissa sul calendario.</w:t>
      </w:r>
    </w:p>
    <w:p>
      <w:pPr>
        <w:spacing w:before="160" w:after="40"/>
      </w:pPr>
      <w:r>
        <w:rPr>
          <w:b/>
          <w:color w:val="2F5D62"/>
          <w:sz w:val="24"/>
        </w:rPr>
        <w:t>Obiettivi misurabili</w:t>
      </w:r>
    </w:p>
    <w:p>
      <w:pPr>
        <w:pStyle w:val="ListBullet"/>
      </w:pPr>
      <w:r>
        <w:t>Mantenere il brand protection always-on lungo tutto l'anno, a intensità costante nella fascia già assegnata, senza soste anche a struttura chiusa</w:t>
      </w:r>
    </w:p>
    <w:p>
      <w:pPr>
        <w:pStyle w:val="ListBullet"/>
      </w:pPr>
      <w:r>
        <w:t>Far coincidere l'incremento di spesa su search non-brand e Google Hotel Ads con l'apertura delle rispettive finestre di prenotazione, non con l'apertura stagionale della struttura</w:t>
      </w:r>
    </w:p>
    <w:p>
      <w:pPr>
        <w:pStyle w:val="ListBullet"/>
      </w:pPr>
      <w:r>
        <w:t>Portare la spesa complessiva al livello di picco nei mesi indicati (maggio, giugno, luglio) e farla ridiscendere in modo governato quando la finestra di prenotazione dei mercati residui si esaurisce</w:t>
      </w:r>
    </w:p>
    <w:p>
      <w:pPr>
        <w:pStyle w:val="ListBullet"/>
      </w:pPr>
      <w:r>
        <w:t>Evitare buchi di presidio nei mesi di chiusura: il brand resta acceso, il non-brand si riduce ma non si spegne del tutto se restano mercati con lead time lungo ancora aperti</w:t>
      </w:r>
    </w:p>
    <w:p>
      <w:r>
        <w:t>Il primo blocco dell'anno, nei mesi che precedono l'apertura della struttura, è un periodo di sola costruzione: il brand protection resta acceso alla soglia bassa della sua fascia, il non-brand italiano si accende appena l'impianto di misurazione è validato e resta a budget di test finché non emergono i primi segnali di conversione, il pilota tedesco parte con budget separato e contenuto perché quel mercato sceglie l'Italia con un anticipo che precede la stagione stessa. Google Hotel Ads entra in gioco solo dopo la verifica del connettore Scidoo nella directory dei partner, quindi il suo pacing dipende da un evento tecnico e non da una data di calendario: finché la condizione non è verificata, il layer resta a budget zero e non compare nella ripartizione attiva. Il display di remarketing resta spento in questa fase, perché non esiste ancora traffico da re-inseguire in volumi utili. Con l'avvicinarsi dei mesi di picco spesa la curva sale: prima il non-brand italiano, che intercetta la coda di chi decide a ridosso della stagione, poi Hotel Ads una volta collegato, che lavora meglio quando l'allotment è ancora ampio e il prezzo è visibile su più superfici. Il tedesco segue una curva propria e anticipata rispetto all'italiano, perché quel mercato si muove prima; l'anglofono, oggi minoritario, resta un pilota a budget minimo finché non prova volumi propri. Durante l'apertura della struttura la priorità operativa si sposta dalla costruzione alla tenuta: il brand protection non si tocca, il non-brand e Hotel Ads restano accesi sul doppio registro già previsto in architettura — visibilità su chi decide con largo anticipo e visibilità di prossimità su chi decide a ridosso delle date — mentre il remarketing lavora in modo continuativo su chi ha visitato le pagine di offerta senza prenotare. Verso la chiusura della struttura la curva ridiscende in modo scaglionato e non brusco: si spegne per primo il non-brand sui mercati a lead time corto, si mantiene più a lungo quello sui mercati a lead time lungo se la finestra di prenotazione dell'anno successivo si apre presto, e il brand protection non scende mai sotto la soglia minima della sua fascia, perché la difesa del nome non ha stagionalità.</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Fase</w:t>
            </w:r>
          </w:p>
        </w:tc>
        <w:tc>
          <w:tcPr>
            <w:tcW w:type="dxa" w:w="2160"/>
            <w:shd w:val="clear" w:color="auto" w:fill="2F5D62"/>
          </w:tcPr>
          <w:p>
            <w:r>
              <w:rPr>
                <w:b/>
                <w:color w:val="FFFFFF"/>
                <w:sz w:val="19"/>
              </w:rPr>
              <w:t>Innesco di attivazione</w:t>
            </w:r>
          </w:p>
        </w:tc>
        <w:tc>
          <w:tcPr>
            <w:tcW w:type="dxa" w:w="2160"/>
            <w:shd w:val="clear" w:color="auto" w:fill="2F5D62"/>
          </w:tcPr>
          <w:p>
            <w:r>
              <w:rPr>
                <w:b/>
                <w:color w:val="FFFFFF"/>
                <w:sz w:val="19"/>
              </w:rPr>
              <w:t>Layer in salita</w:t>
            </w:r>
          </w:p>
        </w:tc>
        <w:tc>
          <w:tcPr>
            <w:tcW w:type="dxa" w:w="2160"/>
            <w:shd w:val="clear" w:color="auto" w:fill="2F5D62"/>
          </w:tcPr>
          <w:p>
            <w:r>
              <w:rPr>
                <w:b/>
                <w:color w:val="FFFFFF"/>
                <w:sz w:val="19"/>
              </w:rPr>
              <w:t>Layer stabili o spenti</w:t>
            </w:r>
          </w:p>
        </w:tc>
      </w:tr>
      <w:tr>
        <w:tc>
          <w:tcPr>
            <w:tcW w:type="dxa" w:w="2160"/>
          </w:tcPr>
          <w:p>
            <w:r>
              <w:rPr>
                <w:sz w:val="19"/>
              </w:rPr>
              <w:t>Costruzione (pre-apertura)</w:t>
            </w:r>
          </w:p>
        </w:tc>
        <w:tc>
          <w:tcPr>
            <w:tcW w:type="dxa" w:w="2160"/>
          </w:tcPr>
          <w:p>
            <w:r>
              <w:rPr>
                <w:sz w:val="19"/>
              </w:rPr>
              <w:t>Impianto di misurazione validato</w:t>
            </w:r>
          </w:p>
        </w:tc>
        <w:tc>
          <w:tcPr>
            <w:tcW w:type="dxa" w:w="2160"/>
          </w:tcPr>
          <w:p>
            <w:r>
              <w:rPr>
                <w:sz w:val="19"/>
              </w:rPr>
              <w:t>Brand protection (soglia bassa), non-brand IT (test), pilota DE (budget separato)</w:t>
            </w:r>
          </w:p>
        </w:tc>
        <w:tc>
          <w:tcPr>
            <w:tcW w:type="dxa" w:w="2160"/>
          </w:tcPr>
          <w:p>
            <w:r>
              <w:rPr>
                <w:sz w:val="19"/>
              </w:rPr>
              <w:t>Hotel Ads spento fino a verifica connettore Scidoo; display remarketing spento</w:t>
            </w:r>
          </w:p>
        </w:tc>
      </w:tr>
      <w:tr>
        <w:tc>
          <w:tcPr>
            <w:tcW w:type="dxa" w:w="2160"/>
            <w:shd w:val="clear" w:color="auto" w:fill="EEF2F1"/>
          </w:tcPr>
          <w:p>
            <w:r>
              <w:rPr>
                <w:sz w:val="19"/>
              </w:rPr>
              <w:t>Anticipo (finestra di prenotazione aperta)</w:t>
            </w:r>
          </w:p>
        </w:tc>
        <w:tc>
          <w:tcPr>
            <w:tcW w:type="dxa" w:w="2160"/>
            <w:shd w:val="clear" w:color="auto" w:fill="EEF2F1"/>
          </w:tcPr>
          <w:p>
            <w:r>
              <w:rPr>
                <w:sz w:val="19"/>
              </w:rPr>
              <w:t>Apertura vendite / apertura finestra estera</w:t>
            </w:r>
          </w:p>
        </w:tc>
        <w:tc>
          <w:tcPr>
            <w:tcW w:type="dxa" w:w="2160"/>
            <w:shd w:val="clear" w:color="auto" w:fill="EEF2F1"/>
          </w:tcPr>
          <w:p>
            <w:r>
              <w:rPr>
                <w:sz w:val="19"/>
              </w:rPr>
              <w:t>Non-brand IT e DE in crescita, Hotel Ads (se connesso)</w:t>
            </w:r>
          </w:p>
        </w:tc>
        <w:tc>
          <w:tcPr>
            <w:tcW w:type="dxa" w:w="2160"/>
            <w:shd w:val="clear" w:color="auto" w:fill="EEF2F1"/>
          </w:tcPr>
          <w:p>
            <w:r>
              <w:rPr>
                <w:sz w:val="19"/>
              </w:rPr>
              <w:t>Brand protection stabile alla fascia assegnata</w:t>
            </w:r>
          </w:p>
        </w:tc>
      </w:tr>
      <w:tr>
        <w:tc>
          <w:tcPr>
            <w:tcW w:type="dxa" w:w="2160"/>
          </w:tcPr>
          <w:p>
            <w:r>
              <w:rPr>
                <w:sz w:val="19"/>
              </w:rPr>
              <w:t>Picco spesa (mag-giu-lug)</w:t>
            </w:r>
          </w:p>
        </w:tc>
        <w:tc>
          <w:tcPr>
            <w:tcW w:type="dxa" w:w="2160"/>
          </w:tcPr>
          <w:p>
            <w:r>
              <w:rPr>
                <w:sz w:val="19"/>
              </w:rPr>
              <w:t>Coincide coi mesi di picco già individuati</w:t>
            </w:r>
          </w:p>
        </w:tc>
        <w:tc>
          <w:tcPr>
            <w:tcW w:type="dxa" w:w="2160"/>
          </w:tcPr>
          <w:p>
            <w:r>
              <w:rPr>
                <w:sz w:val="19"/>
              </w:rPr>
              <w:t>Non-brand su doppio registro, Hotel Ads, display remarketing attivo</w:t>
            </w:r>
          </w:p>
        </w:tc>
        <w:tc>
          <w:tcPr>
            <w:tcW w:type="dxa" w:w="2160"/>
          </w:tcPr>
          <w:p>
            <w:r>
              <w:rPr>
                <w:sz w:val="19"/>
              </w:rPr>
              <w:t>Brand protection stabile</w:t>
            </w:r>
          </w:p>
        </w:tc>
      </w:tr>
      <w:tr>
        <w:tc>
          <w:tcPr>
            <w:tcW w:type="dxa" w:w="2160"/>
            <w:shd w:val="clear" w:color="auto" w:fill="EEF2F1"/>
          </w:tcPr>
          <w:p>
            <w:r>
              <w:rPr>
                <w:sz w:val="19"/>
              </w:rPr>
              <w:t>Stagione aperta (struttura operativa)</w:t>
            </w:r>
          </w:p>
        </w:tc>
        <w:tc>
          <w:tcPr>
            <w:tcW w:type="dxa" w:w="2160"/>
            <w:shd w:val="clear" w:color="auto" w:fill="EEF2F1"/>
          </w:tcPr>
          <w:p>
            <w:r>
              <w:rPr>
                <w:sz w:val="19"/>
              </w:rPr>
              <w:t>Apertura struttura</w:t>
            </w:r>
          </w:p>
        </w:tc>
        <w:tc>
          <w:tcPr>
            <w:tcW w:type="dxa" w:w="2160"/>
            <w:shd w:val="clear" w:color="auto" w:fill="EEF2F1"/>
          </w:tcPr>
          <w:p>
            <w:r>
              <w:rPr>
                <w:sz w:val="19"/>
              </w:rPr>
              <w:t>Remarketing continuativo, non-brand di prossimità</w:t>
            </w:r>
          </w:p>
        </w:tc>
        <w:tc>
          <w:tcPr>
            <w:tcW w:type="dxa" w:w="2160"/>
            <w:shd w:val="clear" w:color="auto" w:fill="EEF2F1"/>
          </w:tcPr>
          <w:p>
            <w:r>
              <w:rPr>
                <w:sz w:val="19"/>
              </w:rPr>
              <w:t>Brand protection stabile; non-brand early booking in esaurimento</w:t>
            </w:r>
          </w:p>
        </w:tc>
      </w:tr>
      <w:tr>
        <w:tc>
          <w:tcPr>
            <w:tcW w:type="dxa" w:w="2160"/>
          </w:tcPr>
          <w:p>
            <w:r>
              <w:rPr>
                <w:sz w:val="19"/>
              </w:rPr>
              <w:t>Rientro (pre-chiusura e chiusura)</w:t>
            </w:r>
          </w:p>
        </w:tc>
        <w:tc>
          <w:tcPr>
            <w:tcW w:type="dxa" w:w="2160"/>
          </w:tcPr>
          <w:p>
            <w:r>
              <w:rPr>
                <w:sz w:val="19"/>
              </w:rPr>
              <w:t>Chiusura struttura / esaurimento finestra residua</w:t>
            </w:r>
          </w:p>
        </w:tc>
        <w:tc>
          <w:tcPr>
            <w:tcW w:type="dxa" w:w="2160"/>
          </w:tcPr>
          <w:p>
            <w:r>
              <w:rPr>
                <w:sz w:val="19"/>
              </w:rPr>
              <w:t>Nessuno: fase di discesa scaglionata</w:t>
            </w:r>
          </w:p>
        </w:tc>
        <w:tc>
          <w:tcPr>
            <w:tcW w:type="dxa" w:w="2160"/>
          </w:tcPr>
          <w:p>
            <w:r>
              <w:rPr>
                <w:sz w:val="19"/>
              </w:rPr>
              <w:t>Brand protection su soglia minima always-on; non-brand e Hotel Ads ridotti progressivamente per mercato</w:t>
            </w:r>
          </w:p>
        </w:tc>
      </w:tr>
    </w:tbl>
    <w:p>
      <w:pPr>
        <w:spacing w:after="160"/>
      </w:pPr>
    </w:p>
    <w:p>
      <w:pPr>
        <w:spacing w:before="160" w:after="40"/>
      </w:pPr>
      <w:r>
        <w:rPr>
          <w:b/>
          <w:color w:val="2F5D62"/>
          <w:sz w:val="24"/>
        </w:rPr>
        <w:t>KPI</w:t>
      </w:r>
    </w:p>
    <w:p>
      <w:pPr>
        <w:pStyle w:val="ListBullet"/>
      </w:pPr>
      <w:r>
        <w:t>Impression share sul brand costante lungo tutto l'anno, verificata a ogni cambio di fase, non solo in stagione</w:t>
      </w:r>
    </w:p>
    <w:p>
      <w:pPr>
        <w:pStyle w:val="ListBullet"/>
      </w:pPr>
      <w:r>
        <w:t>Copertura del budget mensile coerente con i mesi di picco indicati, senza spesa piatta nei mesi di costruzione</w:t>
      </w:r>
    </w:p>
    <w:p>
      <w:pPr>
        <w:pStyle w:val="ListBullet"/>
      </w:pPr>
      <w:r>
        <w:t>Tempo tra apertura di una finestra di mercato e attivazione del relativo layer: da minimizzare, l'innesco precede la spesa</w:t>
      </w:r>
    </w:p>
    <w:p>
      <w:pPr>
        <w:pStyle w:val="ListBullet"/>
      </w:pPr>
      <w:r>
        <w:t>Continuità del remarketing durante tutta l'apertura della struttura, senza interruzioni tra un mese e l'altro</w:t>
      </w:r>
    </w:p>
    <w:p>
      <w:r>
        <w:t>Nota esecutiva: il pacing descritto qui è un ordine di attivazione e un criterio di innesco, non un piano di importi mese per mese — gli importi restano quelli già indicati nella ripartizione di budget, da validare in agenzia. La sequenza per fasi va rivista con l'agenzia ogni anno sulla base dei lead time realmente osservati dal PMS della struttura, non sulla base di questo calendario preso come fisso.</w:t>
      </w:r>
    </w:p>
    <w:p>
      <w:r>
        <w:br w:type="page"/>
      </w:r>
    </w:p>
    <w:p>
      <w:pPr>
        <w:spacing w:after="0"/>
      </w:pPr>
      <w:r>
        <w:rPr>
          <w:b/>
          <w:color w:val="2F5D62"/>
          <w:sz w:val="18"/>
        </w:rPr>
        <w:t>SEZIONE 07</w:t>
      </w:r>
    </w:p>
    <w:p>
      <w:pPr>
        <w:spacing w:after="200"/>
        <w:pBdr>
          <w:bottom w:val="single" w:sz="18" w:space="6" w:color="2F5D62"/>
        </w:pBdr>
      </w:pPr>
      <w:r>
        <w:rPr>
          <w:b/>
          <w:color w:val="1A1A2E"/>
          <w:sz w:val="40"/>
        </w:rPr>
        <w:t>Budget</w:t>
      </w:r>
    </w:p>
    <w:p>
      <w:pPr>
        <w:spacing w:before="160" w:after="40"/>
      </w:pPr>
      <w:r>
        <w:rPr>
          <w:b/>
          <w:color w:val="2F5D62"/>
          <w:sz w:val="24"/>
        </w:rPr>
        <w:t>Stima del budget (decision record PPC — da validare in agenzia)</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Voce</w:t>
            </w:r>
          </w:p>
        </w:tc>
        <w:tc>
          <w:tcPr>
            <w:tcW w:type="dxa" w:w="4320"/>
            <w:shd w:val="clear" w:color="auto" w:fill="2F5D62"/>
          </w:tcPr>
          <w:p>
            <w:r>
              <w:rPr>
                <w:b/>
                <w:color w:val="FFFFFF"/>
                <w:sz w:val="19"/>
              </w:rPr>
              <w:t>Stima</w:t>
            </w:r>
          </w:p>
        </w:tc>
      </w:tr>
      <w:tr>
        <w:tc>
          <w:tcPr>
            <w:tcW w:type="dxa" w:w="4320"/>
          </w:tcPr>
          <w:p>
            <w:r>
              <w:rPr>
                <w:sz w:val="19"/>
              </w:rPr>
              <w:t>CPC medio ponderato (pianificazione)</w:t>
            </w:r>
          </w:p>
        </w:tc>
        <w:tc>
          <w:tcPr>
            <w:tcW w:type="dxa" w:w="4320"/>
          </w:tcPr>
          <w:p>
            <w:r>
              <w:rPr>
                <w:sz w:val="19"/>
              </w:rPr>
              <w:t>2,27 €</w:t>
            </w:r>
          </w:p>
        </w:tc>
      </w:tr>
      <w:tr>
        <w:tc>
          <w:tcPr>
            <w:tcW w:type="dxa" w:w="4320"/>
            <w:shd w:val="clear" w:color="auto" w:fill="EEF2F1"/>
          </w:tcPr>
          <w:p>
            <w:r>
              <w:rPr>
                <w:sz w:val="19"/>
              </w:rPr>
              <w:t>CPA atteso alla CVR assunta (solo media)</w:t>
            </w:r>
          </w:p>
        </w:tc>
        <w:tc>
          <w:tcPr>
            <w:tcW w:type="dxa" w:w="4320"/>
            <w:shd w:val="clear" w:color="auto" w:fill="EEF2F1"/>
          </w:tcPr>
          <w:p>
            <w:r>
              <w:rPr>
                <w:sz w:val="19"/>
              </w:rPr>
              <w:t>114 €</w:t>
            </w:r>
          </w:p>
        </w:tc>
      </w:tr>
      <w:tr>
        <w:tc>
          <w:tcPr>
            <w:tcW w:type="dxa" w:w="4320"/>
          </w:tcPr>
          <w:p>
            <w:r>
              <w:rPr>
                <w:sz w:val="19"/>
              </w:rPr>
              <w:t>CPA tutto compreso (media + gestione 20%)</w:t>
            </w:r>
          </w:p>
        </w:tc>
        <w:tc>
          <w:tcPr>
            <w:tcW w:type="dxa" w:w="4320"/>
          </w:tcPr>
          <w:p>
            <w:r>
              <w:rPr>
                <w:sz w:val="19"/>
              </w:rPr>
              <w:t>136 €</w:t>
            </w:r>
          </w:p>
        </w:tc>
      </w:tr>
      <w:tr>
        <w:tc>
          <w:tcPr>
            <w:tcW w:type="dxa" w:w="4320"/>
            <w:shd w:val="clear" w:color="auto" w:fill="EEF2F1"/>
          </w:tcPr>
          <w:p>
            <w:r>
              <w:rPr>
                <w:sz w:val="19"/>
              </w:rPr>
              <w:t>Tetto CPA tutto compreso (parità commissione OTA)</w:t>
            </w:r>
          </w:p>
        </w:tc>
        <w:tc>
          <w:tcPr>
            <w:tcW w:type="dxa" w:w="4320"/>
            <w:shd w:val="clear" w:color="auto" w:fill="EEF2F1"/>
          </w:tcPr>
          <w:p>
            <w:r>
              <w:rPr>
                <w:sz w:val="19"/>
              </w:rPr>
              <w:t>278 €</w:t>
            </w:r>
          </w:p>
        </w:tc>
      </w:tr>
      <w:tr>
        <w:tc>
          <w:tcPr>
            <w:tcW w:type="dxa" w:w="4320"/>
          </w:tcPr>
          <w:p>
            <w:r>
              <w:rPr>
                <w:sz w:val="19"/>
              </w:rPr>
              <w:t>Click/mese catturabili (tetto domanda)</w:t>
            </w:r>
          </w:p>
        </w:tc>
        <w:tc>
          <w:tcPr>
            <w:tcW w:type="dxa" w:w="4320"/>
          </w:tcPr>
          <w:p>
            <w:r>
              <w:rPr>
                <w:sz w:val="19"/>
              </w:rPr>
              <w:t>1205</w:t>
            </w:r>
          </w:p>
        </w:tc>
      </w:tr>
      <w:tr>
        <w:tc>
          <w:tcPr>
            <w:tcW w:type="dxa" w:w="4320"/>
            <w:shd w:val="clear" w:color="auto" w:fill="EEF2F1"/>
          </w:tcPr>
          <w:p>
            <w:r>
              <w:rPr>
                <w:sz w:val="19"/>
              </w:rPr>
              <w:t>Budget non-brand mensile</w:t>
            </w:r>
          </w:p>
        </w:tc>
        <w:tc>
          <w:tcPr>
            <w:tcW w:type="dxa" w:w="4320"/>
            <w:shd w:val="clear" w:color="auto" w:fill="EEF2F1"/>
          </w:tcPr>
          <w:p>
            <w:r>
              <w:rPr>
                <w:sz w:val="19"/>
              </w:rPr>
              <w:t>1.135 € – 2.740 €</w:t>
            </w:r>
          </w:p>
        </w:tc>
      </w:tr>
      <w:tr>
        <w:tc>
          <w:tcPr>
            <w:tcW w:type="dxa" w:w="4320"/>
          </w:tcPr>
          <w:p>
            <w:r>
              <w:rPr>
                <w:sz w:val="19"/>
              </w:rPr>
              <w:t>Budget giornaliero TOTALE (brand inclusa)</w:t>
            </w:r>
          </w:p>
        </w:tc>
        <w:tc>
          <w:tcPr>
            <w:tcW w:type="dxa" w:w="4320"/>
          </w:tcPr>
          <w:p>
            <w:r>
              <w:rPr>
                <w:sz w:val="19"/>
              </w:rPr>
              <w:t>40 € – 105 €</w:t>
            </w:r>
          </w:p>
        </w:tc>
      </w:tr>
    </w:tbl>
    <w:p>
      <w:pPr>
        <w:spacing w:after="160"/>
      </w:pPr>
    </w:p>
    <w:p>
      <w:r>
        <w:t>Il giornaliero è una media: Google può spendere fino al doppio in un singolo giorno restando nel tetto mensile. Sotto le 30 conversioni/mese partire con Maximize Conversions/Clicks, non con target tCPA/tROAS.</w:t>
      </w:r>
    </w:p>
    <w:p>
      <w:pPr>
        <w:spacing w:before="160" w:after="40"/>
      </w:pPr>
      <w:r>
        <w:rPr>
          <w:b/>
          <w:color w:val="2F5D62"/>
          <w:sz w:val="24"/>
        </w:rPr>
        <w:t>Ripartizione fra i layer (sull'investimento PPC)</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Layer</w:t>
            </w:r>
          </w:p>
        </w:tc>
        <w:tc>
          <w:tcPr>
            <w:tcW w:type="dxa" w:w="4320"/>
            <w:shd w:val="clear" w:color="auto" w:fill="2F5D62"/>
          </w:tcPr>
          <w:p>
            <w:r>
              <w:rPr>
                <w:b/>
                <w:color w:val="FFFFFF"/>
                <w:sz w:val="19"/>
              </w:rPr>
              <w:t>Quota</w:t>
            </w:r>
          </w:p>
        </w:tc>
      </w:tr>
      <w:tr>
        <w:tc>
          <w:tcPr>
            <w:tcW w:type="dxa" w:w="4320"/>
          </w:tcPr>
          <w:p>
            <w:r>
              <w:rPr>
                <w:sz w:val="19"/>
              </w:rPr>
              <w:t>Brand protection</w:t>
            </w:r>
          </w:p>
        </w:tc>
        <w:tc>
          <w:tcPr>
            <w:tcW w:type="dxa" w:w="4320"/>
          </w:tcPr>
          <w:p>
            <w:r>
              <w:rPr>
                <w:sz w:val="19"/>
              </w:rPr>
              <w:t>dal 15% al 20%</w:t>
            </w:r>
          </w:p>
        </w:tc>
      </w:tr>
      <w:tr>
        <w:tc>
          <w:tcPr>
            <w:tcW w:type="dxa" w:w="4320"/>
            <w:shd w:val="clear" w:color="auto" w:fill="EEF2F1"/>
          </w:tcPr>
          <w:p>
            <w:r>
              <w:rPr>
                <w:sz w:val="19"/>
              </w:rPr>
              <w:t>Search non-brand / destinazione</w:t>
            </w:r>
          </w:p>
        </w:tc>
        <w:tc>
          <w:tcPr>
            <w:tcW w:type="dxa" w:w="4320"/>
            <w:shd w:val="clear" w:color="auto" w:fill="EEF2F1"/>
          </w:tcPr>
          <w:p>
            <w:r>
              <w:rPr>
                <w:sz w:val="19"/>
              </w:rPr>
              <w:t>dal 25% al 35%</w:t>
            </w:r>
          </w:p>
        </w:tc>
      </w:tr>
      <w:tr>
        <w:tc>
          <w:tcPr>
            <w:tcW w:type="dxa" w:w="4320"/>
          </w:tcPr>
          <w:p>
            <w:r>
              <w:rPr>
                <w:sz w:val="19"/>
              </w:rPr>
              <w:t>Google Hotel Ads</w:t>
            </w:r>
          </w:p>
        </w:tc>
        <w:tc>
          <w:tcPr>
            <w:tcW w:type="dxa" w:w="4320"/>
          </w:tcPr>
          <w:p>
            <w:r>
              <w:rPr>
                <w:sz w:val="19"/>
              </w:rPr>
              <w:t>dal 20% al 30%</w:t>
            </w:r>
          </w:p>
        </w:tc>
      </w:tr>
      <w:tr>
        <w:tc>
          <w:tcPr>
            <w:tcW w:type="dxa" w:w="4320"/>
            <w:shd w:val="clear" w:color="auto" w:fill="EEF2F1"/>
          </w:tcPr>
          <w:p>
            <w:r>
              <w:rPr>
                <w:sz w:val="19"/>
              </w:rPr>
              <w:t>Display remarketing</w:t>
            </w:r>
          </w:p>
        </w:tc>
        <w:tc>
          <w:tcPr>
            <w:tcW w:type="dxa" w:w="4320"/>
            <w:shd w:val="clear" w:color="auto" w:fill="EEF2F1"/>
          </w:tcPr>
          <w:p>
            <w:r>
              <w:rPr>
                <w:sz w:val="19"/>
              </w:rPr>
              <w:t>dal 10% al 15%</w:t>
            </w:r>
          </w:p>
        </w:tc>
      </w:tr>
      <w:tr>
        <w:tc>
          <w:tcPr>
            <w:tcW w:type="dxa" w:w="4320"/>
          </w:tcPr>
          <w:p>
            <w:r>
              <w:rPr>
                <w:sz w:val="19"/>
              </w:rPr>
              <w:t>Riserva stagionale / test (PMax pilota)</w:t>
            </w:r>
          </w:p>
        </w:tc>
        <w:tc>
          <w:tcPr>
            <w:tcW w:type="dxa" w:w="4320"/>
          </w:tcPr>
          <w:p>
            <w:r>
              <w:rPr>
                <w:sz w:val="19"/>
              </w:rPr>
              <w:t>dal 10% al 20%</w:t>
            </w:r>
          </w:p>
        </w:tc>
      </w:tr>
    </w:tbl>
    <w:p>
      <w:pPr>
        <w:spacing w:after="160"/>
      </w:pPr>
    </w:p>
    <w:p>
      <w:r>
        <w:t>Il budget del canale a pagamento è già quantificato nel record decisionale — intervallo giornaliero complessivo, quota always-on per il brand e ripartizione per strato — e va trattato come stima da validare in agenzia, non come cifra definitiva. Il compito di questa sezione non è ricalcolarlo ma governarlo: leggere correttamente il pavimento e il tetto dell'intervallo, far graduare il bidding secondo il volume di conversioni realmente raccolto, e fissare una cadenza di revisione con l'agenzia che sposti risorse tra strati solo quando i dati lo giustificano.</w:t>
      </w:r>
    </w:p>
    <w:p>
      <w:pPr>
        <w:spacing w:before="160" w:after="40"/>
      </w:pPr>
      <w:r>
        <w:rPr>
          <w:b/>
          <w:color w:val="2F5D62"/>
          <w:sz w:val="24"/>
        </w:rPr>
        <w:t>Obiettivi misurabili</w:t>
      </w:r>
    </w:p>
    <w:p>
      <w:pPr>
        <w:pStyle w:val="ListBullet"/>
      </w:pPr>
      <w:r>
        <w:t>Mantenere la spesa quotidiana entro l'intervallo indicato nel record decisionale, senza scendere sotto il pavimento che protegge il volume minimo di apprendimento degli algoritmi di offerta</w:t>
      </w:r>
    </w:p>
    <w:p>
      <w:pPr>
        <w:pStyle w:val="ListBullet"/>
      </w:pPr>
      <w:r>
        <w:t>Rispettare la ripartizione tra i cinque strati (brand protection, search non-brand/destinazione, Google Hotel Ads, display remarketing, riserva stagionale/test) come bussola di allocazione, correggendola solo sulla base di risultati osservati</w:t>
      </w:r>
    </w:p>
    <w:p>
      <w:pPr>
        <w:pStyle w:val="ListBullet"/>
      </w:pPr>
      <w:r>
        <w:t>Concordare con l'agenzia una cadenza di revisione periodica del budget, distinta dalla revisione settimanale dei termini di ricerca già prevista per il pilota a keyword-less</w:t>
      </w:r>
    </w:p>
    <w:p>
      <w:r>
        <w:t>Il pavimento dell'intervallo non è un limite prudenziale generico: è la soglia sotto la quale le campagne non accumulano abbastanza segnale per uscire dalla fase di apprendimento, e ogni oscillazione sotto quel livello va evitata anche nei mesi di bassa domanda. Il tetto, all'opposto, non è un vincolo di cassa ma una funzione della domanda stagionale e del costo per prenotazione diretta: finché il costo per prenotazione resta sotto la soglia che rende conveniente il canale diretto rispetto all'intermediazione, ha senso avvicinarsi al tetto nei mesi di picco; quando il costo per prenotazione si avvicina o supera quella soglia, il tetto va abbassato prima che il budget continui a scorrere sullo stesso ritmo. La quota always-on sul brand resta costante lungo tutto l'anno e non partecipa a questa oscillazione: è la parte del budget meno negoziabile, perché protegge la quota di impression sul nome già fissata come obiettivo.</w:t>
        <w:br/>
        <w:br/>
        <w:t>La graduazione del bidding segue una regola semplice e va rispettata nell'ordine: finché una campagna non raggiunge un volume di conversioni mensili sufficiente, resta su strategie orientate a massimizzare click o conversioni con un tetto di costo per clic; solo superata quella soglia di volume ha senso passare a un'offerta orientata a un costo o un ritorno target. Applicare offerte a target su campagne ancora sotto soglia di volume è l'errore più comune e il più costoso da correggere: produce oscillazioni di spesa senza il segnale necessario a stabilizzarle. Questo vale in modo particolare per il pilota di espansione automatica: resta escluso da qualunque logica di offerta a target finché non dimostra, nella revisione settimanale già prevista, un volume e una qualità di conversione comparabili al resto dell'account.</w:t>
        <w:br/>
        <w:br/>
        <w:t>La riserva stagionale del budget non è un fondo indifferenziato: è lo spazio destinato a test controllati — primo fra tutti il pilota di espansione automatica già delimitato in fase di architettura — e alla capacità di accelerare nei mesi di anticipo sulla finestra di prenotazione già individuati nel calendario. Non va consumata come cuscinetto per coprire sforamenti in altri strati: se uno strato eccede sistematicamente la propria quota, la correzione passa dalla revisione con l'agenzia, non da un prelievo silenzioso sulla riserva.</w:t>
      </w:r>
    </w:p>
    <w:p>
      <w:pPr>
        <w:spacing w:before="160" w:after="40"/>
      </w:pPr>
      <w:r>
        <w:rPr>
          <w:b/>
          <w:color w:val="2F5D62"/>
          <w:sz w:val="24"/>
        </w:rPr>
        <w:t>KPI</w:t>
      </w:r>
    </w:p>
    <w:p>
      <w:pPr>
        <w:pStyle w:val="ListBullet"/>
      </w:pPr>
      <w:r>
        <w:t>Rispetto dell'intervallo di spesa giornaliera e della quota always-on sul brand, verificato a ogni revisione</w:t>
      </w:r>
    </w:p>
    <w:p>
      <w:pPr>
        <w:pStyle w:val="ListBullet"/>
      </w:pPr>
      <w:r>
        <w:t>Aderenza della spesa effettiva alla ripartizione percentuale tra i cinque strati, con scostamenti motivati e non silenziosi</w:t>
      </w:r>
    </w:p>
    <w:p>
      <w:pPr>
        <w:pStyle w:val="ListBullet"/>
      </w:pPr>
      <w:r>
        <w:t>Costo per prenotazione diretta per strato, confrontato con la soglia di convenienza rispetto all'intermediazione, come criterio guida per avvicinarsi o allontanarsi dal tetto di spesa</w:t>
      </w:r>
    </w:p>
    <w:p>
      <w:pPr>
        <w:pStyle w:val="ListBullet"/>
      </w:pPr>
      <w:r>
        <w:t>Volume di conversioni mensili per campagna, come condizione abilitante prima di ogni passaggio a offerte a target</w:t>
      </w:r>
    </w:p>
    <w:p>
      <w:pPr>
        <w:spacing w:before="160" w:after="40"/>
      </w:pPr>
      <w:r>
        <w:rPr>
          <w:b/>
          <w:color w:val="2F5D62"/>
          <w:sz w:val="24"/>
        </w:rPr>
        <w:t>Note esecutive</w:t>
      </w:r>
    </w:p>
    <w:p>
      <w:r>
        <w:t>L'intervallo di budget, i suoi pavimenti e tetti, e la ripartizione per strato restano quelli fissati nel record decisionale e vanno validati in sede di avvio operativo con l'agenzia: non sono qui ricalcolati né sostituiti da nuove cifre. Ogni spostamento di risorse tra strati va documentato con il dato che lo giustifica — volume di conversioni, costo per prenotazione, quota di impression sul brand — e verificato alla revisione periodica successiva, non deciso in modo estemporaneo.</w:t>
      </w:r>
    </w:p>
    <w:p>
      <w:r>
        <w:br w:type="page"/>
      </w:r>
    </w:p>
    <w:p>
      <w:pPr>
        <w:spacing w:after="0"/>
      </w:pPr>
      <w:r>
        <w:rPr>
          <w:b/>
          <w:color w:val="2F5D62"/>
          <w:sz w:val="18"/>
        </w:rPr>
        <w:t>APPENDICE</w:t>
      </w:r>
    </w:p>
    <w:p>
      <w:pPr>
        <w:spacing w:after="200"/>
        <w:pBdr>
          <w:bottom w:val="single" w:sz="18" w:space="6" w:color="2F5D62"/>
        </w:pBdr>
      </w:pPr>
      <w:r>
        <w:rPr>
          <w:b/>
          <w:color w:val="1A1A2E"/>
          <w:sz w:val="40"/>
        </w:rPr>
        <w:t>Assunzioni e re-verifica</w:t>
      </w:r>
    </w:p>
    <w:p>
      <w:pPr>
        <w:spacing w:before="160" w:after="40"/>
      </w:pPr>
      <w:r>
        <w:rPr>
          <w:b/>
          <w:color w:val="2F5D62"/>
          <w:sz w:val="24"/>
        </w:rPr>
        <w:t>Assunzioni del decision record PPC</w:t>
      </w:r>
    </w:p>
    <w:p>
      <w:pPr>
        <w:pStyle w:val="ListBullet"/>
      </w:pPr>
      <w:r>
        <w:t>booking engine dichiarato dalla struttura: Scidoo; la misurabilità del valore sulla pagina di conferma va verificata in fase di setup</w:t>
      </w:r>
    </w:p>
    <w:p>
      <w:pPr>
        <w:pStyle w:val="ListBullet"/>
      </w:pPr>
      <w:r>
        <w:t>CVR assunta 2.0% (benchmark hotel indipendenti, non misurata: un errore di ±2× sposta il budget di ±2×)</w:t>
      </w:r>
    </w:p>
    <w:p>
      <w:pPr>
        <w:pStyle w:val="ListBullet"/>
      </w:pPr>
      <w:r>
        <w:t>costo di gestione assunto al 20% dello spend (fee reale nell'allegato agenzia): il confronto col tetto OTA usa il costo per prenotazione TUTTO COMPRESO</w:t>
      </w:r>
    </w:p>
    <w:p>
      <w:pPr>
        <w:pStyle w:val="ListBullet"/>
      </w:pPr>
      <w:r>
        <w:t>valore medio prenotazione dichiarato dalla struttura (1.546 €); CPA massimo ancorato alla commissione OTA media (18%)</w:t>
      </w:r>
    </w:p>
    <w:p>
      <w:pPr>
        <w:pStyle w:val="ListBullet"/>
      </w:pPr>
      <w:r>
        <w:t>domanda eleggibile stimata ×3 rispetto alle keyword censite (33 non-brand): broad match e varianti ampliano il reach oltre la lista</w:t>
      </w:r>
    </w:p>
    <w:p>
      <w:pPr>
        <w:pStyle w:val="ListBullet"/>
      </w:pPr>
      <w:r>
        <w:t>tetto dal revenue: occupazione assunta 65%, quota diretta assunta 30%, PPC al 4-8% del revenue diretto</w:t>
      </w:r>
    </w:p>
    <w:p>
      <w:pPr>
        <w:pStyle w:val="ListBullet"/>
      </w:pPr>
      <w:r>
        <w:t>engine 'Scidoo' non presente nella lista partner censita: da verificare nella directory Google</w:t>
      </w:r>
    </w:p>
    <w:p>
      <w:pPr>
        <w:pStyle w:val="ListBullet"/>
      </w:pPr>
      <w:r>
        <w:t>quadro Google/UE in movimento: rimedio DMA sui risultati hotel atteso entro settembre 2026 — ri-verificare l'assetto delle superfici Google dopo tale data</w:t>
      </w:r>
    </w:p>
    <w:p>
      <w:r>
        <w:t>Questo piano è costruito su un impianto di ipotesi dichiarate, non su dati di consuntivo: la modalità di misurazione e-commerce, la finestra di budget giornaliero, la ripartizione per layer e lo stato condizionato di Google Hotel Ads sono assunzioni di partenza, coerenti coi benchmark di settore, da validare con i numeri reali dell'Hotel Ambasciatori non appena l'account produce i primi dati. Il compito di questa sezione non è ripetere quelle scelte — già fissate nelle sezioni precedenti — ma mettere per iscritto cosa manca ancora per trasformarle in un piano verificato, e fissare i momenti in cui il piano andrà ricalibrato.</w:t>
      </w:r>
    </w:p>
    <w:p>
      <w:pPr>
        <w:spacing w:before="160" w:after="40"/>
      </w:pPr>
      <w:r>
        <w:rPr>
          <w:b/>
          <w:color w:val="2F5D62"/>
          <w:sz w:val="24"/>
        </w:rPr>
        <w:t>Obiettivi misurabili</w:t>
      </w:r>
    </w:p>
    <w:p>
      <w:pPr>
        <w:pStyle w:val="ListBullet"/>
      </w:pPr>
      <w:r>
        <w:t>Raccogliere dal cliente entro l'avvio operativo l'accesso all'account Google Ads (se esistente) e allo storico di spesa pubblicitaria, per sostituire le assunzioni di budget con dati reali</w:t>
      </w:r>
    </w:p>
    <w:p>
      <w:pPr>
        <w:pStyle w:val="ListBullet"/>
      </w:pPr>
      <w:r>
        <w:t>Ottenere accesso a GA4, Search Console e al booking engine Scidoo per verificare che la modalità di misurazione e-commerce sia tecnicamente attiva prima di scalare la spesa</w:t>
      </w:r>
    </w:p>
    <w:p>
      <w:pPr>
        <w:pStyle w:val="ListBullet"/>
      </w:pPr>
      <w:r>
        <w:t>Verificare in agenzia, entro l'avvio, se Scidoo è presente nella directory dei partner certificati Google Hotel Ads: da questa verifica dipende se il layer Hotel Ads parte con collegamento diretto o resta sospeso in attesa di soluzione tecnica</w:t>
      </w:r>
    </w:p>
    <w:p>
      <w:pPr>
        <w:pStyle w:val="ListBullet"/>
      </w:pPr>
      <w:r>
        <w:t>Fissare due finestre di ricalibrazione esplicite: la prima sui 30-60 giorni di dati reali, la seconda alla decisione del rimedio DMA sulle superfici hotel in UE</w:t>
      </w:r>
    </w:p>
    <w:p>
      <w:pPr>
        <w:spacing w:before="160" w:after="40"/>
      </w:pPr>
      <w:r>
        <w:rPr>
          <w:b/>
          <w:color w:val="2F5D62"/>
          <w:sz w:val="24"/>
        </w:rPr>
        <w:t>Azioni</w:t>
      </w:r>
    </w:p>
    <w:p>
      <w:r>
        <w:t>La prima azione è raccogliere ciò che oggi non è nel brief e che nessuna assunzione può sostituire: i volumi di conversione reali del booking engine, lo storico di spesa pubblicitaria se l'hotel ha già gestito campagne Google Ads, l'accesso amministrativo all'account Ads, a GA4, a Search Console e al Google Business Profile, e la conferma che il CRM già in uso riceva o possa ricevere le prenotazioni confermate per un futuro collegamento offline. Senza questi accessi il piano resta un impianto di ipotesi corrette ma non verificate: ogni euro stimato nella finestra 40€-105€ giornalieri e ogni quota di layer nella ripartizione brand/non-brand/Hotel Ads/display/riserva è un punto di partenza ragionato, non un numero misurato sulla struttura. La seconda azione è tecnica e riguarda specificamente Hotel Ads: il motore Scidoo non risulta nella lista dei partner di connettività certificati censita in fase di analisi, quindi va verificato direttamente in agenzia, tramite la console Google Hotel Center o il supporto del motore stesso, se l'integrazione è disponibile sotto altro nome commerciale o se serve un partner terzo aggiuntivo — da questo esito dipende se il layer Hotel Ads parte in parallelo al non-brand o resta rimandato. La terza azione è temporale: i primi 30-60 giorni di spesa reale, una volta accesa la campagna di brand protection e il primo tema non-brand, sono il momento in cui il CAC per canale, il tasso di conversione del booking engine e l'impression share sul nome smettono di essere stime e diventano numeri della struttura; su quei numeri, non sulle bande di budget assunte in decision record, va ricalibrata la ripartizione tra i layer. La quarta azione riguarda il quadro regolatorio europeo: il rimedio ordinato per le superfici hotel su Google, atteso attorno a settembre 2026, ridisegna il modo in cui Google Hotel Ads e la ricerca classica si dividono la domanda in UE; alla pubblicazione della decisione va riaperto specificamente il capitolo Hotel Ads del piano, non l'impianto nel suo complesso, per verificare se la quota di budget assegnata al layer resta valida o va spostata verso la ricerca classica.</w:t>
      </w:r>
    </w:p>
    <w:p>
      <w:pPr>
        <w:spacing w:before="160" w:after="40"/>
      </w:pPr>
      <w:r>
        <w:rPr>
          <w:b/>
          <w:color w:val="2F5D62"/>
          <w:sz w:val="24"/>
        </w:rPr>
        <w:t>KPI</w:t>
      </w:r>
    </w:p>
    <w:p>
      <w:pPr>
        <w:pStyle w:val="ListBullet"/>
      </w:pPr>
      <w:r>
        <w:t>Completezza accessi: account Ads, GA4, Search Console, Google Business Profile, booking engine — verificati entro l'avvio operativo</w:t>
      </w:r>
    </w:p>
    <w:p>
      <w:pPr>
        <w:pStyle w:val="ListBullet"/>
      </w:pPr>
      <w:r>
        <w:t>Stato connettività Hotel Ads (Scidoo) confermato o escluso entro l'avvio operativo</w:t>
      </w:r>
    </w:p>
    <w:p>
      <w:pPr>
        <w:pStyle w:val="ListBullet"/>
      </w:pPr>
      <w:r>
        <w:t>Prima ricalibrazione di budget e ripartizione layer completata a 30-60 giorni dall'accensione delle campagne</w:t>
      </w:r>
    </w:p>
    <w:p>
      <w:pPr>
        <w:pStyle w:val="ListBullet"/>
      </w:pPr>
      <w:r>
        <w:t>Revisione del capitolo Hotel Ads completata entro un mese dalla pubblicazione del rimedio DMA (~settembre 2026)</w:t>
      </w:r>
    </w:p>
    <w:p>
      <w:pPr>
        <w:spacing w:before="160" w:after="40"/>
      </w:pPr>
      <w:r>
        <w:rPr>
          <w:b/>
          <w:color w:val="2F5D62"/>
          <w:sz w:val="24"/>
        </w:rPr>
        <w:t>Note esecutive</w:t>
      </w:r>
    </w:p>
    <w:p>
      <w:r>
        <w:t>Tutte le cifre di budget e di ripartizione citate in questo piano sono etichettate 'da validare in agenzia': restano la base di lavoro fino a quando non arrivano i primi dati reali dell'Hotel Ambasciatori. Allo stesso modo, direct ratio, CAC storico e quota di fatturato intermediato via OTA non sono oggi disponibili: finché non vengono forniti dal cliente, ogni target su questi indicatori resta un riferimento di settore e non un obiettivo di struttura. La verifica sulla parità tariffaria e sulla frizione del booking engine diretto, già segnalata come dato mancante nella diagnosi, condiziona in particolare l'efficacia del layer Hotel Ads e va condotta prima di aumentarne il peso di budget oltre la banda assunta.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