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OPERATIVO PPC — GOOGLE ADS</w:t>
      </w:r>
    </w:p>
    <w:p>
      <w:pPr>
        <w:spacing w:before="480"/>
        <w:jc w:val="center"/>
      </w:pPr>
      <w:r>
        <w:rPr>
          <w:b/>
          <w:color w:val="1A1A2E"/>
          <w:sz w:val="60"/>
        </w:rPr>
        <w:t>HOTEL MEDITERRANEO RICCIONE</w:t>
      </w:r>
    </w:p>
    <w:p>
      <w:pPr>
        <w:jc w:val="center"/>
      </w:pPr>
      <w:r>
        <w:rPr>
          <w:color w:val="6B7280"/>
          <w:sz w:val="26"/>
        </w:rPr>
        <w:t>Riccione  ·  4 stelle</w:t>
      </w:r>
    </w:p>
    <w:p>
      <w:pPr>
        <w:spacing w:before="360"/>
        <w:pBdr>
          <w:bottom w:val="single" w:sz="12" w:space="6" w:color="2F5D62"/>
        </w:pBdr>
      </w:pPr>
    </w:p>
    <w:p>
      <w:pPr>
        <w:spacing w:before="160"/>
        <w:jc w:val="center"/>
      </w:pPr>
      <w:r>
        <w:rPr>
          <w:color w:val="6B7280"/>
          <w:sz w:val="18"/>
        </w:rPr>
        <w:t>Documento operativo · 27/07/2026 15:26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Piano esecutivo del canale a pagamento (Google Ads + Google Hotel Ads): discende dal Piano Strategico e ne esegue le decisioni di canale. Per ogni area: sintesi strategica, obiettivi misurabili, azioni e KPI.</w:t>
      </w:r>
    </w:p>
    <w:p>
      <w:pPr>
        <w:pStyle w:val="ListNumber"/>
      </w:pPr>
      <w:r>
        <w:t>01 — Quadro del piano e obiettivi</w:t>
      </w:r>
    </w:p>
    <w:p>
      <w:pPr>
        <w:pStyle w:val="ListNumber"/>
      </w:pPr>
      <w:r>
        <w:t>02 — Misurazione e prerequisiti (fase zero)</w:t>
      </w:r>
    </w:p>
    <w:p>
      <w:pPr>
        <w:pStyle w:val="ListNumber"/>
      </w:pPr>
      <w:r>
        <w:t>03 — Architettura dell'account</w:t>
      </w:r>
    </w:p>
    <w:p>
      <w:pPr>
        <w:pStyle w:val="ListNumber"/>
      </w:pPr>
      <w:r>
        <w:t>04 — Keyword e negative</w:t>
      </w:r>
    </w:p>
    <w:p>
      <w:pPr>
        <w:pStyle w:val="ListNumber"/>
      </w:pPr>
      <w:r>
        <w:t>05 — Mercati e geo-targeting</w:t>
      </w:r>
    </w:p>
    <w:p>
      <w:pPr>
        <w:pStyle w:val="ListNumber"/>
      </w:pPr>
      <w:r>
        <w:t>06 — Calendario e pacing</w:t>
      </w:r>
    </w:p>
    <w:p>
      <w:pPr>
        <w:pStyle w:val="ListNumber"/>
      </w:pPr>
      <w:r>
        <w:t>07 — Budget</w:t>
      </w:r>
    </w:p>
    <w:p>
      <w:pPr>
        <w:pStyle w:val="ListNumber"/>
      </w:pPr>
      <w:r>
        <w:t>08 — Assunzioni e re-verifica</w:t>
      </w:r>
    </w:p>
    <w:p>
      <w:r>
        <w:br w:type="page"/>
      </w:r>
    </w:p>
    <w:p>
      <w:pPr>
        <w:spacing w:after="0"/>
      </w:pPr>
      <w:r>
        <w:rPr>
          <w:b/>
          <w:color w:val="2F5D62"/>
          <w:sz w:val="18"/>
        </w:rPr>
        <w:t>SEZIONE 01</w:t>
      </w:r>
    </w:p>
    <w:p>
      <w:pPr>
        <w:spacing w:after="200"/>
        <w:pBdr>
          <w:bottom w:val="single" w:sz="18" w:space="6" w:color="2F5D62"/>
        </w:pBdr>
      </w:pPr>
      <w:r>
        <w:rPr>
          <w:b/>
          <w:color w:val="1A1A2E"/>
          <w:sz w:val="40"/>
        </w:rPr>
        <w:t>Quadro del piano e obiettivi</w:t>
      </w:r>
    </w:p>
    <w:p>
      <w:pPr>
        <w:spacing w:before="160" w:after="40"/>
      </w:pPr>
      <w:r>
        <w:rPr>
          <w:b/>
          <w:color w:val="2F5D62"/>
          <w:sz w:val="24"/>
        </w:rPr>
        <w:t>Quadro del piano (decision record PPC — verità del piano)</w:t>
      </w:r>
    </w:p>
    <w:p>
      <w:r>
        <w:t>Modalità di misurazione: lead generation con CRM (revenue via offline import). Conversione primaria: richiesta di preventivo (form/telefono/email), con recupero del valore via CRM (offline conversion import).</w:t>
      </w:r>
    </w:p>
    <w:p>
      <w:r>
        <w:t>Il Piano Strategico assegna alla leva pubblicitaria due mandati: search advertising per presidiare il nome e recuperare la domanda non-brand oggi intercettata solo in posizione 8 su «hotel riccione», e Google Hotel Ads in modalità condizionata, subordinata alla verifica del partner di connettività e della parità tariffaria — nessun booking engine è dichiarato dal cliente, quindi i free booking link partono da subito come base gratuita mentre il bidding resta un passo successivo. Questo piano esegue entrambi i verdetti: attiva la protezione del marchio, costruisce il non-brand a tema, prepara il terreno per Hotel Ads e imposta la misurazione in modalità B+, cioè lead generation con richiesta di preventivo come conversione primaria e recupero del valore reale via import offline dal CRM. Ogni obiettivo che segue va letto sotto questa modalità: non stiamo misurando prenotazioni dirette dal motore, ma richieste qualificate, il cui valore economico viene ricostruito a posteriori.</w:t>
      </w:r>
    </w:p>
    <w:p>
      <w:pPr>
        <w:spacing w:before="160" w:after="40"/>
      </w:pPr>
      <w:r>
        <w:rPr>
          <w:b/>
          <w:color w:val="2F5D62"/>
          <w:sz w:val="24"/>
        </w:rPr>
        <w:t>Obiettivi misurabili</w:t>
      </w:r>
    </w:p>
    <w:p>
      <w:pPr>
        <w:pStyle w:val="ListBullet"/>
      </w:pPr>
      <w:r>
        <w:t>Brand protection: quota impression sul nome Hotel Mediterraneo Riccione stabile e alta, a difesa dalle OTA che oggi intermediano ricerche dirette sul marchio — l'obiettivo si valida contro il benchmark di settore (impression share brand ≥90%), non contro una cifra del cliente che non esiste ancora.</w:t>
      </w:r>
    </w:p>
    <w:p>
      <w:pPr>
        <w:pStyle w:val="ListBullet"/>
      </w:pPr>
      <w:r>
        <w:t>Search non-brand / destinazione: presidio delle query ad alto volume oggi in gap (vedi ledger di ricerca) tradotto in richieste di preventivo qualificate, con CPA per richiesta sistematicamente sotto il costo di una prenotazione equivalente intermediata da OTA (commissione dal 15% al 30%, riferimento di settore).</w:t>
      </w:r>
    </w:p>
    <w:p>
      <w:pPr>
        <w:pStyle w:val="ListBullet"/>
      </w:pPr>
      <w:r>
        <w:t>Google Hotel Ads: nella fase free-links, obiettivo di visibilità e di flusso di click qualificato verso il motore; il passaggio a bidding CPC/tROAS diventa obiettivo solo dopo la verifica di parità — anticiparlo senza quella verifica rischia di finanziare clic che l'OTA vince comunque sul prezzo.</w:t>
      </w:r>
    </w:p>
    <w:p>
      <w:pPr>
        <w:pStyle w:val="ListBullet"/>
      </w:pPr>
      <w:r>
        <w:t>Display remarketing: copertura degli abbandoni di funnel (chi ha avviato una richiesta senza completarla) e dei visitatori di pagine camere/offerte, con l'obiettivo di recuperare quota di queste visite in nuove richieste, non in acquisti diretti.</w:t>
      </w:r>
    </w:p>
    <w:p>
      <w:r>
        <w:t>Le azioni immediate seguono l'ordine di costruzione dell'account: si accende la campagna brand, si collegano i free booking link su Google Hotel Ads come base gratuita e non negoziabile, si struttura l'infrastruttura di remarketing sugli abbandoni di richiesta preventivo — unica conversione disponibile in modalità B+ — e solo a quel punto si apre il livello non-brand, campagna per tema, sulle query di domanda oggi in gap. In parallelo va chiuso l'input mancante più urgente per questo piano: la verifica di parità tariffaria con il partner di connettività, condizione tecnica per attivare il bidding su Hotel Ads. Senza quella verifica, ogni euro spinto sul bidding metasearch rischia di pagare un clic che l'ospite comunque prenota altrove a parità di prezzo.</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Layer</w:t>
            </w:r>
          </w:p>
        </w:tc>
        <w:tc>
          <w:tcPr>
            <w:tcW w:type="dxa" w:w="2880"/>
            <w:shd w:val="clear" w:color="auto" w:fill="2F5D62"/>
          </w:tcPr>
          <w:p>
            <w:r>
              <w:rPr>
                <w:b/>
                <w:color w:val="FFFFFF"/>
                <w:sz w:val="19"/>
              </w:rPr>
              <w:t>KPI di riferimento</w:t>
            </w:r>
          </w:p>
        </w:tc>
        <w:tc>
          <w:tcPr>
            <w:tcW w:type="dxa" w:w="2880"/>
            <w:shd w:val="clear" w:color="auto" w:fill="2F5D62"/>
          </w:tcPr>
          <w:p>
            <w:r>
              <w:rPr>
                <w:b/>
                <w:color w:val="FFFFFF"/>
                <w:sz w:val="19"/>
              </w:rPr>
              <w:t>Natura del dato</w:t>
            </w:r>
          </w:p>
        </w:tc>
      </w:tr>
      <w:tr>
        <w:tc>
          <w:tcPr>
            <w:tcW w:type="dxa" w:w="2880"/>
          </w:tcPr>
          <w:p>
            <w:r>
              <w:rPr>
                <w:sz w:val="19"/>
              </w:rPr>
              <w:t>Brand protection</w:t>
            </w:r>
          </w:p>
        </w:tc>
        <w:tc>
          <w:tcPr>
            <w:tcW w:type="dxa" w:w="2880"/>
          </w:tcPr>
          <w:p>
            <w:r>
              <w:rPr>
                <w:sz w:val="19"/>
              </w:rPr>
              <w:t>Impression share ≥90% sul nome</w:t>
            </w:r>
          </w:p>
        </w:tc>
        <w:tc>
          <w:tcPr>
            <w:tcW w:type="dxa" w:w="2880"/>
          </w:tcPr>
          <w:p>
            <w:r>
              <w:rPr>
                <w:sz w:val="19"/>
              </w:rPr>
              <w:t>Benchmark di settore, da validare</w:t>
            </w:r>
          </w:p>
        </w:tc>
      </w:tr>
      <w:tr>
        <w:tc>
          <w:tcPr>
            <w:tcW w:type="dxa" w:w="2880"/>
            <w:shd w:val="clear" w:color="auto" w:fill="EEF2F1"/>
          </w:tcPr>
          <w:p>
            <w:r>
              <w:rPr>
                <w:sz w:val="19"/>
              </w:rPr>
              <w:t>Search non-brand</w:t>
            </w:r>
          </w:p>
        </w:tc>
        <w:tc>
          <w:tcPr>
            <w:tcW w:type="dxa" w:w="2880"/>
            <w:shd w:val="clear" w:color="auto" w:fill="EEF2F1"/>
          </w:tcPr>
          <w:p>
            <w:r>
              <w:rPr>
                <w:sz w:val="19"/>
              </w:rPr>
              <w:t>ROAS indicativo 2:1–5:1; CVR non-brand 0,8%–2,5%</w:t>
            </w:r>
          </w:p>
        </w:tc>
        <w:tc>
          <w:tcPr>
            <w:tcW w:type="dxa" w:w="2880"/>
            <w:shd w:val="clear" w:color="auto" w:fill="EEF2F1"/>
          </w:tcPr>
          <w:p>
            <w:r>
              <w:rPr>
                <w:sz w:val="19"/>
              </w:rPr>
              <w:t>Benchmark di settore, da validare</w:t>
            </w:r>
          </w:p>
        </w:tc>
      </w:tr>
      <w:tr>
        <w:tc>
          <w:tcPr>
            <w:tcW w:type="dxa" w:w="2880"/>
          </w:tcPr>
          <w:p>
            <w:r>
              <w:rPr>
                <w:sz w:val="19"/>
              </w:rPr>
              <w:t>Google Hotel Ads (post-parità)</w:t>
            </w:r>
          </w:p>
        </w:tc>
        <w:tc>
          <w:tcPr>
            <w:tcW w:type="dxa" w:w="2880"/>
          </w:tcPr>
          <w:p>
            <w:r>
              <w:rPr>
                <w:sz w:val="19"/>
              </w:rPr>
              <w:t>ROAS indicativo 6:1–12:1</w:t>
            </w:r>
          </w:p>
        </w:tc>
        <w:tc>
          <w:tcPr>
            <w:tcW w:type="dxa" w:w="2880"/>
          </w:tcPr>
          <w:p>
            <w:r>
              <w:rPr>
                <w:sz w:val="19"/>
              </w:rPr>
              <w:t>Benchmark di settore, da validare</w:t>
            </w:r>
          </w:p>
        </w:tc>
      </w:tr>
      <w:tr>
        <w:tc>
          <w:tcPr>
            <w:tcW w:type="dxa" w:w="2880"/>
            <w:shd w:val="clear" w:color="auto" w:fill="EEF2F1"/>
          </w:tcPr>
          <w:p>
            <w:r>
              <w:rPr>
                <w:sz w:val="19"/>
              </w:rPr>
              <w:t>Display remarketing</w:t>
            </w:r>
          </w:p>
        </w:tc>
        <w:tc>
          <w:tcPr>
            <w:tcW w:type="dxa" w:w="2880"/>
            <w:shd w:val="clear" w:color="auto" w:fill="EEF2F1"/>
          </w:tcPr>
          <w:p>
            <w:r>
              <w:rPr>
                <w:sz w:val="19"/>
              </w:rPr>
              <w:t>ROAS indicativo 3:1–6:1</w:t>
            </w:r>
          </w:p>
        </w:tc>
        <w:tc>
          <w:tcPr>
            <w:tcW w:type="dxa" w:w="2880"/>
            <w:shd w:val="clear" w:color="auto" w:fill="EEF2F1"/>
          </w:tcPr>
          <w:p>
            <w:r>
              <w:rPr>
                <w:sz w:val="19"/>
              </w:rPr>
              <w:t>Benchmark di settore, da validare</w:t>
            </w:r>
          </w:p>
        </w:tc>
      </w:tr>
      <w:tr>
        <w:tc>
          <w:tcPr>
            <w:tcW w:type="dxa" w:w="2880"/>
          </w:tcPr>
          <w:p>
            <w:r>
              <w:rPr>
                <w:sz w:val="19"/>
              </w:rPr>
              <w:t>Trasversale</w:t>
            </w:r>
          </w:p>
        </w:tc>
        <w:tc>
          <w:tcPr>
            <w:tcW w:type="dxa" w:w="2880"/>
          </w:tcPr>
          <w:p>
            <w:r>
              <w:rPr>
                <w:sz w:val="19"/>
              </w:rPr>
              <w:t>CPA per richiesta di preventivo sotto la commissione OTA (dal 15% al 30%)</w:t>
            </w:r>
          </w:p>
        </w:tc>
        <w:tc>
          <w:tcPr>
            <w:tcW w:type="dxa" w:w="2880"/>
          </w:tcPr>
          <w:p>
            <w:r>
              <w:rPr>
                <w:sz w:val="19"/>
              </w:rPr>
              <w:t>Framing di mercato, da validare sui costi reali</w:t>
            </w:r>
          </w:p>
        </w:tc>
      </w:tr>
    </w:tbl>
    <w:p>
      <w:pPr>
        <w:spacing w:after="160"/>
      </w:pPr>
    </w:p>
    <w:p>
      <w:r>
        <w:t>Nota esecutiva: tutti i valori della tabella sono riferimenti di settore da validare con i dati reali del cliente non appena disponibili accessi a CRM e booking engine — nessuno di essi è già un target contrattuale della struttura. La modalità B+ impone inoltre una disciplina: senza import regolare delle conversioni offline dal CRM, il valore delle richieste resta invisibile alle piattaforme e il bidding automatico su tROAS non ha basi solide per funzionare; l'attivazione dell'import CRM è quindi un prerequisito operativo, non un dettaglio tecnico differibile.</w:t>
      </w:r>
    </w:p>
    <w:p>
      <w:r>
        <w:br w:type="page"/>
      </w:r>
    </w:p>
    <w:p>
      <w:pPr>
        <w:spacing w:after="0"/>
      </w:pPr>
      <w:r>
        <w:rPr>
          <w:b/>
          <w:color w:val="2F5D62"/>
          <w:sz w:val="18"/>
        </w:rPr>
        <w:t>SEZIONE 02</w:t>
      </w:r>
    </w:p>
    <w:p>
      <w:pPr>
        <w:spacing w:after="200"/>
        <w:pBdr>
          <w:bottom w:val="single" w:sz="18" w:space="6" w:color="2F5D62"/>
        </w:pBdr>
      </w:pPr>
      <w:r>
        <w:rPr>
          <w:b/>
          <w:color w:val="1A1A2E"/>
          <w:sz w:val="40"/>
        </w:rPr>
        <w:t>Misurazione e prerequisiti (fase zero)</w:t>
      </w:r>
    </w:p>
    <w:p>
      <w:pPr>
        <w:spacing w:before="160" w:after="40"/>
      </w:pPr>
      <w:r>
        <w:rPr>
          <w:b/>
          <w:color w:val="2F5D62"/>
          <w:sz w:val="24"/>
        </w:rPr>
        <w:t>Impianto di misurazione (fase zero)</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Elemento</w:t>
            </w:r>
          </w:p>
        </w:tc>
        <w:tc>
          <w:tcPr>
            <w:tcW w:type="dxa" w:w="4320"/>
            <w:shd w:val="clear" w:color="auto" w:fill="2F5D62"/>
          </w:tcPr>
          <w:p>
            <w:r>
              <w:rPr>
                <w:b/>
                <w:color w:val="FFFFFF"/>
                <w:sz w:val="19"/>
              </w:rPr>
              <w:t>Stato / prescrizione</w:t>
            </w:r>
          </w:p>
        </w:tc>
      </w:tr>
      <w:tr>
        <w:tc>
          <w:tcPr>
            <w:tcW w:type="dxa" w:w="4320"/>
          </w:tcPr>
          <w:p>
            <w:r>
              <w:rPr>
                <w:sz w:val="19"/>
              </w:rPr>
              <w:t>Modalità</w:t>
            </w:r>
          </w:p>
        </w:tc>
        <w:tc>
          <w:tcPr>
            <w:tcW w:type="dxa" w:w="4320"/>
          </w:tcPr>
          <w:p>
            <w:r>
              <w:rPr>
                <w:sz w:val="19"/>
              </w:rPr>
              <w:t>B+ — lead generation con CRM</w:t>
            </w:r>
          </w:p>
        </w:tc>
      </w:tr>
      <w:tr>
        <w:tc>
          <w:tcPr>
            <w:tcW w:type="dxa" w:w="4320"/>
            <w:shd w:val="clear" w:color="auto" w:fill="EEF2F1"/>
          </w:tcPr>
          <w:p>
            <w:r>
              <w:rPr>
                <w:sz w:val="19"/>
              </w:rPr>
              <w:t>Conversione primaria</w:t>
            </w:r>
          </w:p>
        </w:tc>
        <w:tc>
          <w:tcPr>
            <w:tcW w:type="dxa" w:w="4320"/>
            <w:shd w:val="clear" w:color="auto" w:fill="EEF2F1"/>
          </w:tcPr>
          <w:p>
            <w:r>
              <w:rPr>
                <w:sz w:val="19"/>
              </w:rPr>
              <w:t>richiesta di preventivo (form/telefono/email), con recupero del valore via CRM (offline conversion import)</w:t>
            </w:r>
          </w:p>
        </w:tc>
      </w:tr>
      <w:tr>
        <w:tc>
          <w:tcPr>
            <w:tcW w:type="dxa" w:w="4320"/>
          </w:tcPr>
          <w:p>
            <w:r>
              <w:rPr>
                <w:sz w:val="19"/>
              </w:rPr>
              <w:t>Consent Mode v2</w:t>
            </w:r>
          </w:p>
        </w:tc>
        <w:tc>
          <w:tcPr>
            <w:tcW w:type="dxa" w:w="4320"/>
          </w:tcPr>
          <w:p>
            <w:r>
              <w:rPr>
                <w:sz w:val="19"/>
              </w:rPr>
              <w:t>prerequisito: dal 15/06/2026 è l'unica fonte di consenso letta da Google Ads</w:t>
            </w:r>
          </w:p>
        </w:tc>
      </w:tr>
      <w:tr>
        <w:tc>
          <w:tcPr>
            <w:tcW w:type="dxa" w:w="4320"/>
            <w:shd w:val="clear" w:color="auto" w:fill="EEF2F1"/>
          </w:tcPr>
          <w:p>
            <w:r>
              <w:rPr>
                <w:sz w:val="19"/>
              </w:rPr>
              <w:t>Booking engine</w:t>
            </w:r>
          </w:p>
        </w:tc>
        <w:tc>
          <w:tcPr>
            <w:tcW w:type="dxa" w:w="4320"/>
            <w:shd w:val="clear" w:color="auto" w:fill="EEF2F1"/>
          </w:tcPr>
          <w:p>
            <w:r>
              <w:rPr>
                <w:sz w:val="19"/>
              </w:rPr>
              <w:t>non dichiarato (da rilevare)</w:t>
            </w:r>
          </w:p>
        </w:tc>
      </w:tr>
      <w:tr>
        <w:tc>
          <w:tcPr>
            <w:tcW w:type="dxa" w:w="4320"/>
          </w:tcPr>
          <w:p>
            <w:r>
              <w:rPr>
                <w:sz w:val="19"/>
              </w:rPr>
              <w:t>CRM collegato</w:t>
            </w:r>
          </w:p>
        </w:tc>
        <w:tc>
          <w:tcPr>
            <w:tcW w:type="dxa" w:w="4320"/>
          </w:tcPr>
          <w:p>
            <w:r>
              <w:rPr>
                <w:sz w:val="19"/>
              </w:rPr>
              <w:t>sì</w:t>
            </w:r>
          </w:p>
        </w:tc>
      </w:tr>
    </w:tbl>
    <w:p>
      <w:pPr>
        <w:spacing w:after="160"/>
      </w:pPr>
    </w:p>
    <w:p>
      <w:r>
        <w:t>Prima che parta un solo euro su campagne non-brand, l'account deve poggiare su una misurazione che regge: oggi la struttura opera in modalità B — richiesta di preventivo (form, telefono, email) come conversione primaria, con il valore recuperato a valle via importazione offline delle conversioni dal CRM. Non è una scelta di comodo: è il punto di partenza reale, perché il booking engine non è dichiarato e senza un evento di prenotazione diretto tracciato non si può misurare in modalità A. La fase zero costruisce l'impianto tecnico che rende affidabile questa modalità B e apre, in sequenza, la strada verso B+ e verso A.</w:t>
      </w:r>
    </w:p>
    <w:p>
      <w:pPr>
        <w:spacing w:before="160" w:after="40"/>
      </w:pPr>
      <w:r>
        <w:rPr>
          <w:b/>
          <w:color w:val="2F5D62"/>
          <w:sz w:val="24"/>
        </w:rPr>
        <w:t>Obiettivi misurabili</w:t>
      </w:r>
    </w:p>
    <w:p>
      <w:pPr>
        <w:pStyle w:val="ListBullet"/>
      </w:pPr>
      <w:r>
        <w:t>Consent Mode v2 attivo e verificato prima dell'accensione di qualsiasi campagna a pagamento, essendo l'unico segnale di consenso che Google Ads legge dal mese di giugno 2026</w:t>
      </w:r>
    </w:p>
    <w:p>
      <w:pPr>
        <w:pStyle w:val="ListBullet"/>
      </w:pPr>
      <w:r>
        <w:t>Conversione primaria 'richiesta di preventivo' cablata su tutti i punti di contatto (form, click-to-call, email) e visibile in Google Ads come azione di conversione unica, non frammentata</w:t>
      </w:r>
    </w:p>
    <w:p>
      <w:pPr>
        <w:pStyle w:val="ListBullet"/>
      </w:pPr>
      <w:r>
        <w:t>Enhanced conversions attive sulla conversione primaria per recuperare il match rate perso dal blocco dei cookie di terze parti</w:t>
      </w:r>
    </w:p>
    <w:p>
      <w:pPr>
        <w:pStyle w:val="ListBullet"/>
      </w:pPr>
      <w:r>
        <w:t>Percorso verso B+ e verso A assegnato a un responsabile con una scadenza, non lasciato come intenzione</w:t>
      </w:r>
    </w:p>
    <w:p>
      <w:pPr>
        <w:spacing w:before="160" w:after="40"/>
      </w:pPr>
      <w:r>
        <w:rPr>
          <w:b/>
          <w:color w:val="2F5D62"/>
          <w:sz w:val="24"/>
        </w:rPr>
        <w:t>Azioni</w:t>
      </w:r>
    </w:p>
    <w:p>
      <w:r>
        <w:t>Il primo intervento è sul banner di consenso: va verificato che invii correttamente i segnali di Consent Mode v2, perché un banner mal configurato spegne silenziosamente la misurazione anche se le campagne sembrano attive e spendere normalmente. Questo controllo precede tecnicamente tutto il resto, incluso l'allineamento con GA4, e va ripetuto ogni volta che il sito o il CMP vengono aggiornati. Una volta verificato il consenso, si cablano la conversione di richiesta preventivo sul sito e l'allineamento degli eventi in GA4, così che Google Ads, GA4 e il CRM parlino delle stesse conversioni con la stessa definizione. Le enhanced conversions vanno attivate subito sulla stessa azione di conversione, non rimandate: sono ciò che permette all'asta di continuare a ottimizzare quando il segnale diretto si assottiglia. In parallelo, la connessione tra CRM e Google Ads per l'importazione delle conversioni offline è un'azione di piano con un responsabile designato e una scadenza: è il passo che trasforma la modalità B in B+, recuperando il valore economico delle richieste che si chiudono in prenotazione a valle, fuori dal sito. Il passo successivo, verso la modalità A, richiede che il booking engine sia dotato di un tag di conversione con il valore reale sulla pagina di conferma prenotazione: oggi questo tracciamento non è dichiarato, quindi va aperto come richiesta esplicita alla struttura o al fornitore del motore di prenotazione, non assunto come già presente. Sul fronte metasearch, la parità tariffaria resta un prerequisito tecnico e non una leva commerciale da questo piano: senza una verifica della parità tra il prezzo esposto sul motore diretto e quello sulle OTA tramite il partner di connettività, il bidding su Google Hotel Ads non si accende — i link di prenotazione gratuiti restano invece attivabili da subito, senza condizioni, e sono il primo passo naturale su questo layer.</w:t>
      </w:r>
    </w:p>
    <w:p>
      <w:pPr>
        <w:spacing w:before="160" w:after="40"/>
      </w:pPr>
      <w:r>
        <w:rPr>
          <w:b/>
          <w:color w:val="2F5D62"/>
          <w:sz w:val="24"/>
        </w:rPr>
        <w:t>KPI</w:t>
      </w:r>
    </w:p>
    <w:p>
      <w:pPr>
        <w:pStyle w:val="ListBullet"/>
      </w:pPr>
      <w:r>
        <w:t>Consent Mode v2: presenza e correttezza del segnale, verificata prima di ogni accensione di spesa non-brand</w:t>
      </w:r>
    </w:p>
    <w:p>
      <w:pPr>
        <w:pStyle w:val="ListBullet"/>
      </w:pPr>
      <w:r>
        <w:t>Tasso di match delle enhanced conversions, monitorato come indicatore di salute della misurazione</w:t>
      </w:r>
    </w:p>
    <w:p>
      <w:pPr>
        <w:pStyle w:val="ListBullet"/>
      </w:pPr>
      <w:r>
        <w:t>Copertura dell'importazione offline dal CRM sulle conversioni Google Ads: quota di richieste di preventivo chiuse in CRM che risultano collegate alla conversione originaria</w:t>
      </w:r>
    </w:p>
    <w:p>
      <w:pPr>
        <w:pStyle w:val="ListBullet"/>
      </w:pPr>
      <w:r>
        <w:t>Stato di avanzamento verso la modalità A (tag di conversione con valore sul booking engine): azione aperta/chiusa, con responsabile e scadenza</w:t>
      </w:r>
    </w:p>
    <w:p>
      <w:pPr>
        <w:spacing w:before="160" w:after="40"/>
      </w:pPr>
      <w:r>
        <w:rPr>
          <w:b/>
          <w:color w:val="2F5D62"/>
          <w:sz w:val="24"/>
        </w:rPr>
        <w:t>Note esecutive</w:t>
      </w:r>
    </w:p>
    <w:p>
      <w:r>
        <w:t>Il booking engine e la sua capacità di tracciamento non sono dati noti in questa fase: vanno verificati direttamente con la struttura o con il fornitore del motore di prenotazione prima di impostare qualunque scadenza di passaggio a modalità A. Allo stesso modo, la parità tariffaria sui metasearch non risulta presidiata: la verifica tramite il partner di connettività certificato è un input mancante da chiudere prima di attivare il bidding su Google Hotel Ads, non un dettaglio successivo.</w:t>
      </w:r>
    </w:p>
    <w:p>
      <w:r>
        <w:br w:type="page"/>
      </w:r>
    </w:p>
    <w:p>
      <w:pPr>
        <w:spacing w:after="0"/>
      </w:pPr>
      <w:r>
        <w:rPr>
          <w:b/>
          <w:color w:val="2F5D62"/>
          <w:sz w:val="18"/>
        </w:rPr>
        <w:t>SEZIONE 03</w:t>
      </w:r>
    </w:p>
    <w:p>
      <w:pPr>
        <w:spacing w:after="200"/>
        <w:pBdr>
          <w:bottom w:val="single" w:sz="18" w:space="6" w:color="2F5D62"/>
        </w:pBdr>
      </w:pPr>
      <w:r>
        <w:rPr>
          <w:b/>
          <w:color w:val="1A1A2E"/>
          <w:sz w:val="40"/>
        </w:rPr>
        <w:t>Architettura dell'account</w:t>
      </w:r>
    </w:p>
    <w:p>
      <w:pPr>
        <w:spacing w:before="160" w:after="40"/>
      </w:pPr>
      <w:r>
        <w:rPr>
          <w:b/>
          <w:color w:val="2F5D62"/>
          <w:sz w:val="24"/>
        </w:rPr>
        <w:t>Architettura campagne (decision record PPC)</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Campagna</w:t>
            </w:r>
          </w:p>
        </w:tc>
        <w:tc>
          <w:tcPr>
            <w:tcW w:type="dxa" w:w="2160"/>
            <w:shd w:val="clear" w:color="auto" w:fill="2F5D62"/>
          </w:tcPr>
          <w:p>
            <w:r>
              <w:rPr>
                <w:b/>
                <w:color w:val="FFFFFF"/>
                <w:sz w:val="19"/>
              </w:rPr>
              <w:t>Stato / condizione</w:t>
            </w:r>
          </w:p>
        </w:tc>
        <w:tc>
          <w:tcPr>
            <w:tcW w:type="dxa" w:w="2160"/>
            <w:shd w:val="clear" w:color="auto" w:fill="2F5D62"/>
          </w:tcPr>
          <w:p>
            <w:r>
              <w:rPr>
                <w:b/>
                <w:color w:val="FFFFFF"/>
                <w:sz w:val="19"/>
              </w:rPr>
              <w:t>Obiettivo</w:t>
            </w:r>
          </w:p>
        </w:tc>
        <w:tc>
          <w:tcPr>
            <w:tcW w:type="dxa" w:w="2160"/>
            <w:shd w:val="clear" w:color="auto" w:fill="2F5D62"/>
          </w:tcPr>
          <w:p>
            <w:r>
              <w:rPr>
                <w:b/>
                <w:color w:val="FFFFFF"/>
                <w:sz w:val="19"/>
              </w:rPr>
              <w:t>KPI guida</w:t>
            </w:r>
          </w:p>
        </w:tc>
      </w:tr>
      <w:tr>
        <w:tc>
          <w:tcPr>
            <w:tcW w:type="dxa" w:w="2160"/>
          </w:tcPr>
          <w:p>
            <w:r>
              <w:rPr>
                <w:sz w:val="19"/>
              </w:rPr>
              <w:t>Brand protection (Search)</w:t>
            </w:r>
          </w:p>
        </w:tc>
        <w:tc>
          <w:tcPr>
            <w:tcW w:type="dxa" w:w="2160"/>
          </w:tcPr>
          <w:p>
            <w:r>
              <w:rPr>
                <w:sz w:val="19"/>
              </w:rPr>
              <w:t>sempre attiva, prima di ogni altra spesa</w:t>
            </w:r>
          </w:p>
        </w:tc>
        <w:tc>
          <w:tcPr>
            <w:tcW w:type="dxa" w:w="2160"/>
          </w:tcPr>
          <w:p>
            <w:r>
              <w:rPr>
                <w:sz w:val="19"/>
              </w:rPr>
              <w:t>difendere il nome dalle OTA</w:t>
            </w:r>
          </w:p>
        </w:tc>
        <w:tc>
          <w:tcPr>
            <w:tcW w:type="dxa" w:w="2160"/>
          </w:tcPr>
          <w:p>
            <w:r>
              <w:rPr>
                <w:sz w:val="19"/>
              </w:rPr>
              <w:t>impression share ≥90%</w:t>
            </w:r>
          </w:p>
        </w:tc>
      </w:tr>
      <w:tr>
        <w:tc>
          <w:tcPr>
            <w:tcW w:type="dxa" w:w="2160"/>
            <w:shd w:val="clear" w:color="auto" w:fill="EEF2F1"/>
          </w:tcPr>
          <w:p>
            <w:r>
              <w:rPr>
                <w:sz w:val="19"/>
              </w:rPr>
              <w:t>Search non-brand / destinazione</w:t>
            </w:r>
          </w:p>
        </w:tc>
        <w:tc>
          <w:tcPr>
            <w:tcW w:type="dxa" w:w="2160"/>
            <w:shd w:val="clear" w:color="auto" w:fill="EEF2F1"/>
          </w:tcPr>
          <w:p>
            <w:r>
              <w:rPr>
                <w:sz w:val="19"/>
              </w:rPr>
              <w:t>secondo il verdetto strategia (attivare_stagionale)</w:t>
            </w:r>
          </w:p>
        </w:tc>
        <w:tc>
          <w:tcPr>
            <w:tcW w:type="dxa" w:w="2160"/>
            <w:shd w:val="clear" w:color="auto" w:fill="EEF2F1"/>
          </w:tcPr>
          <w:p>
            <w:r>
              <w:rPr>
                <w:sz w:val="19"/>
              </w:rPr>
              <w:t>domanda commerciale della destinazione</w:t>
            </w:r>
          </w:p>
        </w:tc>
        <w:tc>
          <w:tcPr>
            <w:tcW w:type="dxa" w:w="2160"/>
            <w:shd w:val="clear" w:color="auto" w:fill="EEF2F1"/>
          </w:tcPr>
          <w:p>
            <w:r>
              <w:rPr>
                <w:sz w:val="19"/>
              </w:rPr>
              <w:t>ROAS per campagna</w:t>
            </w:r>
          </w:p>
        </w:tc>
      </w:tr>
      <w:tr>
        <w:tc>
          <w:tcPr>
            <w:tcW w:type="dxa" w:w="2160"/>
          </w:tcPr>
          <w:p>
            <w:r>
              <w:rPr>
                <w:sz w:val="19"/>
              </w:rPr>
              <w:t>Google Hotel Ads</w:t>
            </w:r>
          </w:p>
        </w:tc>
        <w:tc>
          <w:tcPr>
            <w:tcW w:type="dxa" w:w="2160"/>
          </w:tcPr>
          <w:p>
            <w:r>
              <w:rPr>
                <w:sz w:val="19"/>
              </w:rPr>
              <w:t>condizionata (v. prerequisiti)</w:t>
            </w:r>
          </w:p>
        </w:tc>
        <w:tc>
          <w:tcPr>
            <w:tcW w:type="dxa" w:w="2160"/>
          </w:tcPr>
          <w:p>
            <w:r>
              <w:rPr>
                <w:sz w:val="19"/>
              </w:rPr>
              <w:t>presidio del modulo prezzi Google</w:t>
            </w:r>
          </w:p>
        </w:tc>
        <w:tc>
          <w:tcPr>
            <w:tcW w:type="dxa" w:w="2160"/>
          </w:tcPr>
          <w:p>
            <w:r>
              <w:rPr>
                <w:sz w:val="19"/>
              </w:rPr>
              <w:t>ROAS per campagna</w:t>
            </w:r>
          </w:p>
        </w:tc>
      </w:tr>
      <w:tr>
        <w:tc>
          <w:tcPr>
            <w:tcW w:type="dxa" w:w="2160"/>
            <w:shd w:val="clear" w:color="auto" w:fill="EEF2F1"/>
          </w:tcPr>
          <w:p>
            <w:r>
              <w:rPr>
                <w:sz w:val="19"/>
              </w:rPr>
              <w:t>Display remarketing</w:t>
            </w:r>
          </w:p>
        </w:tc>
        <w:tc>
          <w:tcPr>
            <w:tcW w:type="dxa" w:w="2160"/>
            <w:shd w:val="clear" w:color="auto" w:fill="EEF2F1"/>
          </w:tcPr>
          <w:p>
            <w:r>
              <w:rPr>
                <w:sz w:val="19"/>
              </w:rPr>
              <w:t>dopo l'infrastruttura di misurazione (fase zero)</w:t>
            </w:r>
          </w:p>
        </w:tc>
        <w:tc>
          <w:tcPr>
            <w:tcW w:type="dxa" w:w="2160"/>
            <w:shd w:val="clear" w:color="auto" w:fill="EEF2F1"/>
          </w:tcPr>
          <w:p>
            <w:r>
              <w:rPr>
                <w:sz w:val="19"/>
              </w:rPr>
              <w:t>recupero degli abbandoni del funnel</w:t>
            </w:r>
          </w:p>
        </w:tc>
        <w:tc>
          <w:tcPr>
            <w:tcW w:type="dxa" w:w="2160"/>
            <w:shd w:val="clear" w:color="auto" w:fill="EEF2F1"/>
          </w:tcPr>
          <w:p>
            <w:r>
              <w:rPr>
                <w:sz w:val="19"/>
              </w:rPr>
              <w:t>ROAS per campagna</w:t>
            </w:r>
          </w:p>
        </w:tc>
      </w:tr>
      <w:tr>
        <w:tc>
          <w:tcPr>
            <w:tcW w:type="dxa" w:w="2160"/>
          </w:tcPr>
          <w:p>
            <w:r>
              <w:rPr>
                <w:sz w:val="19"/>
              </w:rPr>
              <w:t>Performance Max / AI Max</w:t>
            </w:r>
          </w:p>
        </w:tc>
        <w:tc>
          <w:tcPr>
            <w:tcW w:type="dxa" w:w="2160"/>
          </w:tcPr>
          <w:p>
            <w:r>
              <w:rPr>
                <w:sz w:val="19"/>
              </w:rPr>
              <w:t>pilota successivo, con esclusione brand e Final URL expansion disattivata</w:t>
            </w:r>
          </w:p>
        </w:tc>
        <w:tc>
          <w:tcPr>
            <w:tcW w:type="dxa" w:w="2160"/>
          </w:tcPr>
          <w:p>
            <w:r>
              <w:rPr>
                <w:sz w:val="19"/>
              </w:rPr>
              <w:t>espansione oltre le keyword, sotto controllo</w:t>
            </w:r>
          </w:p>
        </w:tc>
        <w:tc>
          <w:tcPr>
            <w:tcW w:type="dxa" w:w="2160"/>
          </w:tcPr>
          <w:p>
            <w:r>
              <w:rPr>
                <w:sz w:val="19"/>
              </w:rPr>
              <w:t>incrementalità a livello account</w:t>
            </w:r>
          </w:p>
        </w:tc>
      </w:tr>
    </w:tbl>
    <w:p>
      <w:pPr>
        <w:spacing w:after="160"/>
      </w:pPr>
    </w:p>
    <w:p>
      <w:r>
        <w:t>L'account si costruisce a strati, non a blocco unico: ogni campagna corrisponde a un tema con budget e obiettivo propri, e brand e non-brand non condividono mai lo stesso contenitore, altrimenti diventa impossibile leggere quanto costa proteggere il nome rispetto a quanto costa conquistare domanda nuova. L'ordine di accensione segue la logica del rischio e del ritorno: prima si presidia ciò che già ci appartiene — le ricerche sul nome Hotel Mediterraneo, oggi intercettabili da OTA e intermediari — poi si aggancia Google Hotel Ads sui link gratuiti, quindi si costruisce l'infrastruttura di remarketing, solo dopo si accende la domanda non-brand sulla destinazione, e infine — con cautela e in forma di pilota — si valuta l'espansione automatica. Performance Max e AI Max non entrano come layer strutturale ma come test governato: parole brand escluse, espansione dell'URL finale disattivata perché il funnel di preventivo non deve mai atterrare su una pagina diversa da quella prevista, e un brief che vieta all'intelligenza artificiale di inventare prezzi o servizi non confermati dalla struttura.</w:t>
      </w:r>
    </w:p>
    <w:p>
      <w:pPr>
        <w:spacing w:before="160" w:after="40"/>
      </w:pPr>
      <w:r>
        <w:rPr>
          <w:b/>
          <w:color w:val="2F5D62"/>
          <w:sz w:val="24"/>
        </w:rPr>
        <w:t>Obiettivi misurabili</w:t>
      </w:r>
    </w:p>
    <w:p>
      <w:pPr>
        <w:pStyle w:val="ListBullet"/>
      </w:pPr>
      <w:r>
        <w:t>Ogni campagna della tabella sotto è operativa entro la sequenza indicata, senza sovrapposizioni tra brand e non-brand</w:t>
      </w:r>
    </w:p>
    <w:p>
      <w:pPr>
        <w:pStyle w:val="ListBullet"/>
      </w:pPr>
      <w:r>
        <w:t>Il pilota PMax/AI Max resta sotto revisione settimanale dei termini di ricerca per l'intera durata del test, prima di qualunque valutazione di scalabilità</w:t>
      </w:r>
    </w:p>
    <w:p>
      <w:pPr>
        <w:spacing w:before="160" w:after="40"/>
      </w:pPr>
      <w:r>
        <w:rPr>
          <w:b/>
          <w:color w:val="2F5D62"/>
          <w:sz w:val="24"/>
        </w:rPr>
        <w:t>Azioni</w:t>
      </w:r>
    </w:p>
    <w:p>
      <w:r>
        <w:t>La campagna brand si costruisce su corrispondenza esatta e a frase sulle varianti del nome, con negative che escludono i nomi degli intermediari e delle OTA: è il primo argine e resta permanente, senza finestre di sospensione. Il collegamento a Google Hotel Ads parte dai link gratuiti, che non richiedono alcuna verifica di parità e sono il primo passo non negoziabile per qualsiasi struttura; il passaggio al bidding a pagamento resta condizionato, come deciso a monte, alla conferma che il partner di connettività trasmetta tariffe in parità — finché questo controllo non è chiuso, il layer resta sui link gratuiti e non si accende spesa incrementale. L'infrastruttura di remarketing si attiva subito dopo, con priorità agli utenti che hanno iniziato una richiesta di preventivo senza completarla, poi ai visitatori delle pagine camere e offerte, infine ai visitatori generici: è la sequenza che rende il budget di retargeting produttivo fin dal primo euro. La campagna non-brand si organizza per tema — famiglia, coppia, business/MICE — non per singola parola chiave, così ogni gruppo resta leggibile e il messaggio può usare il linguaggio proprio del segmento (formula, piano famiglia, spiaggia inclusa) senza diluirsi in una campagna generica. Il pilota PMax/AI Max si accende solo a infrastruttura di misurazione confermata, con parole brand escluse in negativa, espansione dell'URL finale disattivata e un brief scritto che vincola i testi generati ai soli fatti confermati dalla struttura, senza margine di invenzione su prezzi o servizi; la revisione settimanale dei termini di ricerca è la condizione permanente per mantenerlo acceso, e la valutazione del suo contributo avviene a livello di intero account, non di singola campagna, perché una parte del traffico automatico si sovrappone naturalmente a quello già coperto dalle parole chiave esistenti.</w:t>
      </w:r>
    </w:p>
    <w:p>
      <w:pPr>
        <w:spacing w:before="160" w:after="40"/>
      </w:pPr>
      <w:r>
        <w:rPr>
          <w:b/>
          <w:color w:val="2F5D62"/>
          <w:sz w:val="24"/>
        </w:rPr>
        <w:t>KPI</w:t>
      </w:r>
    </w:p>
    <w:p>
      <w:pPr>
        <w:pStyle w:val="ListBullet"/>
      </w:pPr>
      <w:r>
        <w:t>Quota impression sul nome Hotel Mediterraneo, monitorata in modo continuo sulla campagna brand</w:t>
      </w:r>
    </w:p>
    <w:p>
      <w:pPr>
        <w:pStyle w:val="ListBullet"/>
      </w:pPr>
      <w:r>
        <w:t>Costo per richiesta di preventivo, letto per singola campagna del layer non-brand e del pilota PMax/AI Max separatamente</w:t>
      </w:r>
    </w:p>
    <w:p>
      <w:pPr>
        <w:pStyle w:val="ListBullet"/>
      </w:pPr>
      <w:r>
        <w:t>Percentuale di sovrapposizione dei termini di ricerca tra pilota PMax/AI Max e campagne esistenti, verificata nella revisione settimanale</w:t>
      </w:r>
    </w:p>
    <w:p>
      <w:pPr>
        <w:spacing w:before="160" w:after="40"/>
      </w:pPr>
      <w:r>
        <w:rPr>
          <w:b/>
          <w:color w:val="2F5D62"/>
          <w:sz w:val="24"/>
        </w:rPr>
        <w:t>Note esecutive</w:t>
      </w:r>
    </w:p>
    <w:p>
      <w:r>
        <w:t>Il bidding a pagamento su Hotel Ads non si attiva finché la verifica di parità tariffaria col partner di connettività non è chiusa: è un prerequisito tecnico, non una scelta di budget, e la sua assenza oggi non blocca l'uso dei link gratuiti. Il pilota PMax/AI Max non va confuso con una campagna a budget pieno: nasce come test, con criteri di uscita legati alla qualità dei termini di ricerca intercettati, non a un orizzonte temporale fisso.</w:t>
      </w:r>
    </w:p>
    <w:p>
      <w:r>
        <w:br w:type="page"/>
      </w:r>
    </w:p>
    <w:p>
      <w:pPr>
        <w:spacing w:after="0"/>
      </w:pPr>
      <w:r>
        <w:rPr>
          <w:b/>
          <w:color w:val="2F5D62"/>
          <w:sz w:val="18"/>
        </w:rPr>
        <w:t>SEZIONE 04</w:t>
      </w:r>
    </w:p>
    <w:p>
      <w:pPr>
        <w:spacing w:after="200"/>
        <w:pBdr>
          <w:bottom w:val="single" w:sz="18" w:space="6" w:color="2F5D62"/>
        </w:pBdr>
      </w:pPr>
      <w:r>
        <w:rPr>
          <w:b/>
          <w:color w:val="1A1A2E"/>
          <w:sz w:val="40"/>
        </w:rPr>
        <w:t>Keyword e negative</w:t>
      </w:r>
    </w:p>
    <w:p>
      <w:pPr>
        <w:spacing w:before="160" w:after="40"/>
      </w:pPr>
      <w:r>
        <w:rPr>
          <w:b/>
          <w:color w:val="2F5D62"/>
          <w:sz w:val="24"/>
        </w:rPr>
        <w:t>Nucleo brand protection (parametri deterministici)</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Parametro</w:t>
            </w:r>
          </w:p>
        </w:tc>
        <w:tc>
          <w:tcPr>
            <w:tcW w:type="dxa" w:w="4320"/>
            <w:shd w:val="clear" w:color="auto" w:fill="2F5D62"/>
          </w:tcPr>
          <w:p>
            <w:r>
              <w:rPr>
                <w:b/>
                <w:color w:val="FFFFFF"/>
                <w:sz w:val="19"/>
              </w:rPr>
              <w:t>Valore</w:t>
            </w:r>
          </w:p>
        </w:tc>
      </w:tr>
      <w:tr>
        <w:tc>
          <w:tcPr>
            <w:tcW w:type="dxa" w:w="4320"/>
          </w:tcPr>
          <w:p>
            <w:r>
              <w:rPr>
                <w:sz w:val="19"/>
              </w:rPr>
              <w:t>Varianti da presidiare (exact/phrase)</w:t>
            </w:r>
          </w:p>
        </w:tc>
        <w:tc>
          <w:tcPr>
            <w:tcW w:type="dxa" w:w="4320"/>
          </w:tcPr>
          <w:p>
            <w:r>
              <w:rPr>
                <w:sz w:val="19"/>
              </w:rPr>
              <w:t>Hotel Mediterraneo Riccione; Mediterraneo Riccione; Hotel Mediterraneo Riccione sito ufficiale</w:t>
            </w:r>
          </w:p>
        </w:tc>
      </w:tr>
      <w:tr>
        <w:tc>
          <w:tcPr>
            <w:tcW w:type="dxa" w:w="4320"/>
            <w:shd w:val="clear" w:color="auto" w:fill="EEF2F1"/>
          </w:tcPr>
          <w:p>
            <w:r>
              <w:rPr>
                <w:sz w:val="19"/>
              </w:rPr>
              <w:t>Negative (intermediari)</w:t>
            </w:r>
          </w:p>
        </w:tc>
        <w:tc>
          <w:tcPr>
            <w:tcW w:type="dxa" w:w="4320"/>
            <w:shd w:val="clear" w:color="auto" w:fill="EEF2F1"/>
          </w:tcPr>
          <w:p>
            <w:r>
              <w:rPr>
                <w:sz w:val="19"/>
              </w:rPr>
              <w:t>booking, booking.com, expedia, trivago, tripadvisor, hotels.com, agoda, kayak, lastminute, edreams, airbnb</w:t>
            </w:r>
          </w:p>
        </w:tc>
      </w:tr>
      <w:tr>
        <w:tc>
          <w:tcPr>
            <w:tcW w:type="dxa" w:w="4320"/>
          </w:tcPr>
          <w:p>
            <w:r>
              <w:rPr>
                <w:sz w:val="19"/>
              </w:rPr>
              <w:t>Budget riserva</w:t>
            </w:r>
          </w:p>
        </w:tc>
        <w:tc>
          <w:tcPr>
            <w:tcW w:type="dxa" w:w="4320"/>
          </w:tcPr>
          <w:p>
            <w:r>
              <w:rPr>
                <w:sz w:val="19"/>
              </w:rPr>
              <w:t>5 €–15 € al giorno</w:t>
            </w:r>
          </w:p>
        </w:tc>
      </w:tr>
      <w:tr>
        <w:tc>
          <w:tcPr>
            <w:tcW w:type="dxa" w:w="4320"/>
            <w:shd w:val="clear" w:color="auto" w:fill="EEF2F1"/>
          </w:tcPr>
          <w:p>
            <w:r>
              <w:rPr>
                <w:sz w:val="19"/>
              </w:rPr>
              <w:t>Impression share obiettivo</w:t>
            </w:r>
          </w:p>
        </w:tc>
        <w:tc>
          <w:tcPr>
            <w:tcW w:type="dxa" w:w="4320"/>
            <w:shd w:val="clear" w:color="auto" w:fill="EEF2F1"/>
          </w:tcPr>
          <w:p>
            <w:r>
              <w:rPr>
                <w:sz w:val="19"/>
              </w:rPr>
              <w:t>≥90%</w:t>
            </w:r>
          </w:p>
        </w:tc>
      </w:tr>
    </w:tbl>
    <w:p>
      <w:pPr>
        <w:spacing w:after="160"/>
      </w:pPr>
    </w:p>
    <w:p>
      <w:r>
        <w:t>Il nucleo brand è già definito in architettura: qui si costruisce il livello non-brand, e la fonte è unica — il ledger di domanda della diagnosi. Ventisette keyword di domanda risultano pertinenti alla destinazione, tutte non-brand, con un volume in gap di circa 55.760 ricerche mensili contro una sola query presidiata ("hotel riccione", 22.200/mese, posizione 8 organica). Questo gap organico non si chiude in tempi brevi: la campagna non-brand serve a occupare subito, in modo pagante, lo stesso spazio di domanda dove il posizionamento gratuito arriverà solo più avanti — non lo sostituisce, lo anticipa.</w:t>
      </w:r>
    </w:p>
    <w:p>
      <w:pPr>
        <w:spacing w:before="160" w:after="40"/>
      </w:pPr>
      <w:r>
        <w:rPr>
          <w:b/>
          <w:color w:val="2F5D62"/>
          <w:sz w:val="24"/>
        </w:rPr>
        <w:t>Obiettivi misurabili</w:t>
      </w:r>
    </w:p>
    <w:p>
      <w:pPr>
        <w:pStyle w:val="ListBullet"/>
      </w:pPr>
      <w:r>
        <w:t>Copertura in ricerca pagata su almeno le prime cinque query del gap per volume entro il primo mese di accensione non-brand, con landing page dedicata per ciascun tema</w:t>
      </w:r>
    </w:p>
    <w:p>
      <w:pPr>
        <w:pStyle w:val="ListBullet"/>
      </w:pPr>
      <w:r>
        <w:t>Lista negativa completa (nomi OTA/intermediari, competitor diretti, intenti fuori target) attiva dal giorno 1 della campagna non-brand, non aggiunta a posteriori</w:t>
      </w:r>
    </w:p>
    <w:p>
      <w:pPr>
        <w:pStyle w:val="ListBullet"/>
      </w:pPr>
      <w:r>
        <w:t>Revisione settimanale dei termini di ricerca nelle prime sei settimane, per intercettare varianti non previste dal ledger prima che consumino budget</w:t>
      </w:r>
    </w:p>
    <w:p>
      <w:pPr>
        <w:spacing w:before="160" w:after="40"/>
      </w:pPr>
      <w:r>
        <w:rPr>
          <w:b/>
          <w:color w:val="2F5D62"/>
          <w:sz w:val="24"/>
        </w:rPr>
        <w:t>Azioni</w:t>
      </w:r>
    </w:p>
    <w:p>
      <w:r>
        <w:t>I temi non-brand si raggruppano per intento e non per singola keyword, così ogni gruppo annuncio può parlare la lingua del prodotto invece che quella tecnica. Un primo tema copre la posizione fronte mare e il lungomare ("hotel riccione sul mare", 9.900/mese, presente ma non competitiva; "hotel lungomare riccione", 8.100/mese, non intercettata; "hotel marina riccione", 1.900/mese) e punta alla pagina camere, dove il balcone vista mare va nominato esplicitamente perché è l'argomento di vendita più validato dalle recensioni. Un secondo tema copre la vocazione famiglia ("family hotel riccione", 3.600/mese, non intercettata; "club hotel riccione", 1.900/mese) e punta alla pagina servizi bambini: qui il testo annuncio deve nominare la formula (all inclusive o mezza pensione), il piano famiglia con età bambini gratis e l'ombrellone incluso, non semplicemente "hotel per famiglie". Un terzo tema copre la categoria e il prodotto ristorazione ("hotel 4 stelle riccione", 2.900/mese; "hotel riccione pensione completa", 2.900/mese) e punta alla pagina ristoranti con lo stesso lessico di formula. Un quarto tema, minore ma coerente con l'impianto sportivo del territorio, copre "hotel sport riccione" (2.900/mese) e va abbinato ai contenuti sull'Autodromo già presenti sul sito. Le query su piscina e centro benessere ("hotel riccione con piscina", 2.400/mese; "hotel riccione con spa", 1.900/mese) formano un quinto tema che punta alla pagina piscina, mentre "riccione hotel san marino" (1.900/mese) resta un tema geografico a parte, da valutare in base al rendimento nelle prime settimane prima di consolidarlo. La query "residence riccione" (1.900/mese) non entra in nessun gruppo: l'intento residence è un prodotto diverso dall'hotel e va escluso, non intercettato. Tutte le query del ledger sono a intento puramente informazionale nella loro forma di ricerca generica: in campagna non-brand vanno usate in corrispondenza frase o exact sulle varianti transazionali (con "prenota", "offerte", nomi di mese), mentre le forme più ampie e informazionali alimentano il pubblico di remarketing display piuttosto che la spesa in click diretti. Sul fronte negativo, la lista eredita dal layer brand i nomi degli intermediari (Booking, Expedia, Airbnb, Trivago) e aggiunge i nomi dei competitor diretti del set comportamentale — Abner's, Nautico, Des Bains, Ambasciatori, De la Ville, Concord, Boemia, Cappuccina — per evitare che il budget non-brand finanzi ricerche di marca altrui. A questi si affiancano gli intenti fuori target emersi dal ledger stesso: "residence", termini di lavoro/stage in hotel se compaiono nei termini di ricerca, e varianti di città diverse da Riccione. La lista è un asset vivo: ogni revisione settimanale nelle prime sei settimane aggiunge quanto emerge dal report dei termini di ricerca, non solo quanto previsto oggi.</w:t>
      </w:r>
    </w:p>
    <w:p>
      <w:pPr>
        <w:spacing w:before="160" w:after="40"/>
      </w:pPr>
      <w:r>
        <w:rPr>
          <w:b/>
          <w:color w:val="2F5D62"/>
          <w:sz w:val="24"/>
        </w:rPr>
        <w:t>KPI</w:t>
      </w:r>
    </w:p>
    <w:p>
      <w:pPr>
        <w:pStyle w:val="ListBullet"/>
      </w:pPr>
      <w:r>
        <w:t>Tasso di conversione non-brand nel range dal 0,8% al 2,5% (benchmark indipendenti attorno al 2%) — la soglia dal 0,8%+ è anche il segnale per spostare budget verso il non-brand nell'architettura dell'account</w:t>
      </w:r>
    </w:p>
    <w:p>
      <w:pPr>
        <w:pStyle w:val="ListBullet"/>
      </w:pPr>
      <w:r>
        <w:t>ROAS non-brand nel range dal 2:1 al 5:1, misurato dopo il recupero valore via CRM (modalità B+), mai confrontato con il ROAS brand</w:t>
      </w:r>
    </w:p>
    <w:p>
      <w:pPr>
        <w:pStyle w:val="ListBullet"/>
      </w:pPr>
      <w:r>
        <w:t>Quota di spesa non-brand assorbita da termini già coperti dalla lista negativa: da tenere prossima a zero dopo le prime due settimane di raffinamento</w:t>
      </w:r>
    </w:p>
    <w:p>
      <w:pPr>
        <w:spacing w:before="160" w:after="40"/>
      </w:pPr>
      <w:r>
        <w:rPr>
          <w:b/>
          <w:color w:val="2F5D62"/>
          <w:sz w:val="24"/>
        </w:rPr>
        <w:t>Note esecutive</w:t>
      </w:r>
    </w:p>
    <w:p>
      <w:r>
        <w:t>Le landing page per tema esistono già sul sito (camere, servizi bambini, ristoranti, piscina, autodromo): il lavoro di questa fase è di abbinamento annuncio-pagina, non di creazione ex novo. Il gap sulla query "family hotel riccione" segnalato in diagnosi vale anche qui: finché l'organico non recupera posizione, il presidio a pagamento su quella query specifica è la priorità di spesa del tema famiglia. Un export aggiornato delle posizioni organiche, se disponibile più avanti, entra nel piano solo come delta datato sul ledger attuale, non come sua sostituzione.</w:t>
      </w:r>
    </w:p>
    <w:p>
      <w:r>
        <w:br w:type="page"/>
      </w:r>
    </w:p>
    <w:p>
      <w:pPr>
        <w:spacing w:after="0"/>
      </w:pPr>
      <w:r>
        <w:rPr>
          <w:b/>
          <w:color w:val="2F5D62"/>
          <w:sz w:val="18"/>
        </w:rPr>
        <w:t>SEZIONE 05</w:t>
      </w:r>
    </w:p>
    <w:p>
      <w:pPr>
        <w:spacing w:after="200"/>
        <w:pBdr>
          <w:bottom w:val="single" w:sz="18" w:space="6" w:color="2F5D62"/>
        </w:pBdr>
      </w:pPr>
      <w:r>
        <w:rPr>
          <w:b/>
          <w:color w:val="1A1A2E"/>
          <w:sz w:val="40"/>
        </w:rPr>
        <w:t>Mercati e geo-targeting</w:t>
      </w:r>
    </w:p>
    <w:p>
      <w:pPr>
        <w:spacing w:before="160" w:after="40"/>
      </w:pPr>
      <w:r>
        <w:rPr>
          <w:b/>
          <w:color w:val="2F5D62"/>
          <w:sz w:val="24"/>
        </w:rPr>
        <w:t>Mercati per il geo-targeting (dal decision record della strategia)</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Mercato</w:t>
            </w:r>
          </w:p>
        </w:tc>
        <w:tc>
          <w:tcPr>
            <w:tcW w:type="dxa" w:w="1728"/>
            <w:shd w:val="clear" w:color="auto" w:fill="2F5D62"/>
          </w:tcPr>
          <w:p>
            <w:r>
              <w:rPr>
                <w:b/>
                <w:color w:val="FFFFFF"/>
                <w:sz w:val="19"/>
              </w:rPr>
              <w:t>Lingua</w:t>
            </w:r>
          </w:p>
        </w:tc>
        <w:tc>
          <w:tcPr>
            <w:tcW w:type="dxa" w:w="1728"/>
            <w:shd w:val="clear" w:color="auto" w:fill="2F5D62"/>
          </w:tcPr>
          <w:p>
            <w:r>
              <w:rPr>
                <w:b/>
                <w:color w:val="FFFFFF"/>
                <w:sz w:val="19"/>
              </w:rPr>
              <w:t>Stato</w:t>
            </w:r>
          </w:p>
        </w:tc>
        <w:tc>
          <w:tcPr>
            <w:tcW w:type="dxa" w:w="1728"/>
            <w:shd w:val="clear" w:color="auto" w:fill="2F5D62"/>
          </w:tcPr>
          <w:p>
            <w:r>
              <w:rPr>
                <w:b/>
                <w:color w:val="FFFFFF"/>
                <w:sz w:val="19"/>
              </w:rPr>
              <w:t>Finestra</w:t>
            </w:r>
          </w:p>
        </w:tc>
        <w:tc>
          <w:tcPr>
            <w:tcW w:type="dxa" w:w="1728"/>
            <w:shd w:val="clear" w:color="auto" w:fill="2F5D62"/>
          </w:tcPr>
          <w:p>
            <w:r>
              <w:rPr>
                <w:b/>
                <w:color w:val="FFFFFF"/>
                <w:sz w:val="19"/>
              </w:rPr>
              <w:t>Azione PPC</w:t>
            </w:r>
          </w:p>
        </w:tc>
      </w:tr>
      <w:tr>
        <w:tc>
          <w:tcPr>
            <w:tcW w:type="dxa" w:w="1728"/>
          </w:tcPr>
          <w:p>
            <w:r>
              <w:rPr>
                <w:sz w:val="19"/>
              </w:rPr>
              <w:t>United Kingdom</w:t>
            </w:r>
          </w:p>
        </w:tc>
        <w:tc>
          <w:tcPr>
            <w:tcW w:type="dxa" w:w="1728"/>
          </w:tcPr>
          <w:p>
            <w:r>
              <w:rPr>
                <w:sz w:val="19"/>
              </w:rPr>
              <w:t>inglese</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Poland</w:t>
            </w:r>
          </w:p>
        </w:tc>
        <w:tc>
          <w:tcPr>
            <w:tcW w:type="dxa" w:w="1728"/>
            <w:shd w:val="clear" w:color="auto" w:fill="EEF2F1"/>
          </w:tcPr>
          <w:p>
            <w:r>
              <w:rPr>
                <w:sz w:val="19"/>
              </w:rPr>
              <w:t>polacco</w:t>
            </w:r>
          </w:p>
        </w:tc>
        <w:tc>
          <w:tcPr>
            <w:tcW w:type="dxa" w:w="1728"/>
            <w:shd w:val="clear" w:color="auto" w:fill="EEF2F1"/>
          </w:tcPr>
          <w:p>
            <w:r>
              <w:rPr>
                <w:sz w:val="19"/>
              </w:rPr>
              <w:t>opportunità</w:t>
            </w:r>
          </w:p>
        </w:tc>
        <w:tc>
          <w:tcPr>
            <w:tcW w:type="dxa" w:w="1728"/>
            <w:shd w:val="clear" w:color="auto" w:fill="EEF2F1"/>
          </w:tcPr>
          <w:p>
            <w:r>
              <w:rPr>
                <w:sz w:val="19"/>
              </w:rPr>
              <w:t>luglio→ottobre</w:t>
            </w:r>
          </w:p>
        </w:tc>
        <w:tc>
          <w:tcPr>
            <w:tcW w:type="dxa" w:w="1728"/>
            <w:shd w:val="clear" w:color="auto" w:fill="EEF2F1"/>
          </w:tcPr>
          <w:p>
            <w:r>
              <w:rPr>
                <w:sz w:val="19"/>
              </w:rPr>
              <w:t>pilota in lingua a budget contenuto (ipotesi da testare)</w:t>
            </w:r>
          </w:p>
        </w:tc>
      </w:tr>
      <w:tr>
        <w:tc>
          <w:tcPr>
            <w:tcW w:type="dxa" w:w="1728"/>
          </w:tcPr>
          <w:p>
            <w:r>
              <w:rPr>
                <w:sz w:val="19"/>
              </w:rPr>
              <w:t>Germany</w:t>
            </w:r>
          </w:p>
        </w:tc>
        <w:tc>
          <w:tcPr>
            <w:tcW w:type="dxa" w:w="1728"/>
          </w:tcPr>
          <w:p>
            <w:r>
              <w:rPr>
                <w:sz w:val="19"/>
              </w:rPr>
              <w:t>tedesco</w:t>
            </w:r>
          </w:p>
        </w:tc>
        <w:tc>
          <w:tcPr>
            <w:tcW w:type="dxa" w:w="1728"/>
          </w:tcPr>
          <w:p>
            <w:r>
              <w:rPr>
                <w:sz w:val="19"/>
              </w:rPr>
              <w:t>presente nel mix</w:t>
            </w:r>
          </w:p>
        </w:tc>
        <w:tc>
          <w:tcPr>
            <w:tcW w:type="dxa" w:w="1728"/>
          </w:tcPr>
          <w:p>
            <w:r>
              <w:rPr>
                <w:sz w:val="19"/>
              </w:rPr>
              <w:t>luglio→ottobre</w:t>
            </w:r>
          </w:p>
        </w:tc>
        <w:tc>
          <w:tcPr>
            <w:tcW w:type="dxa" w:w="1728"/>
          </w:tcPr>
          <w:p>
            <w:r>
              <w:rPr>
                <w:sz w:val="19"/>
              </w:rPr>
              <w:t>campagna in lingua nella finestra indicata</w:t>
            </w:r>
          </w:p>
        </w:tc>
      </w:tr>
      <w:tr>
        <w:tc>
          <w:tcPr>
            <w:tcW w:type="dxa" w:w="1728"/>
            <w:shd w:val="clear" w:color="auto" w:fill="EEF2F1"/>
          </w:tcPr>
          <w:p>
            <w:r>
              <w:rPr>
                <w:sz w:val="19"/>
              </w:rPr>
              <w:t>Albania</w:t>
            </w:r>
          </w:p>
        </w:tc>
        <w:tc>
          <w:tcPr>
            <w:tcW w:type="dxa" w:w="1728"/>
            <w:shd w:val="clear" w:color="auto" w:fill="EEF2F1"/>
          </w:tcPr>
          <w:p>
            <w:r>
              <w:rPr>
                <w:sz w:val="19"/>
              </w:rPr>
              <w:t>albanese</w:t>
            </w:r>
          </w:p>
        </w:tc>
        <w:tc>
          <w:tcPr>
            <w:tcW w:type="dxa" w:w="1728"/>
            <w:shd w:val="clear" w:color="auto" w:fill="EEF2F1"/>
          </w:tcPr>
          <w:p>
            <w:r>
              <w:rPr>
                <w:sz w:val="19"/>
              </w:rPr>
              <w:t>opportunità</w:t>
            </w:r>
          </w:p>
        </w:tc>
        <w:tc>
          <w:tcPr>
            <w:tcW w:type="dxa" w:w="1728"/>
            <w:shd w:val="clear" w:color="auto" w:fill="EEF2F1"/>
          </w:tcPr>
          <w:p>
            <w:r>
              <w:rPr>
                <w:sz w:val="19"/>
              </w:rPr>
              <w:t>luglio→ottobre</w:t>
            </w:r>
          </w:p>
        </w:tc>
        <w:tc>
          <w:tcPr>
            <w:tcW w:type="dxa" w:w="1728"/>
            <w:shd w:val="clear" w:color="auto" w:fill="EEF2F1"/>
          </w:tcPr>
          <w:p>
            <w:r>
              <w:rPr>
                <w:sz w:val="19"/>
              </w:rPr>
              <w:t>pilota in lingua a budget contenuto (ipotesi da testare)</w:t>
            </w:r>
          </w:p>
        </w:tc>
      </w:tr>
      <w:tr>
        <w:tc>
          <w:tcPr>
            <w:tcW w:type="dxa" w:w="1728"/>
          </w:tcPr>
          <w:p>
            <w:r>
              <w:rPr>
                <w:sz w:val="19"/>
              </w:rPr>
              <w:t>Hungary</w:t>
            </w:r>
          </w:p>
        </w:tc>
        <w:tc>
          <w:tcPr>
            <w:tcW w:type="dxa" w:w="1728"/>
          </w:tcPr>
          <w:p>
            <w:r>
              <w:rPr>
                <w:sz w:val="19"/>
              </w:rPr>
              <w:t>ungherese</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Belgium</w:t>
            </w:r>
          </w:p>
        </w:tc>
        <w:tc>
          <w:tcPr>
            <w:tcW w:type="dxa" w:w="1728"/>
            <w:shd w:val="clear" w:color="auto" w:fill="EEF2F1"/>
          </w:tcPr>
          <w:p>
            <w:r>
              <w:rPr>
                <w:sz w:val="19"/>
              </w:rPr>
              <w:t>olandese, francese</w:t>
            </w:r>
          </w:p>
        </w:tc>
        <w:tc>
          <w:tcPr>
            <w:tcW w:type="dxa" w:w="1728"/>
            <w:shd w:val="clear" w:color="auto" w:fill="EEF2F1"/>
          </w:tcPr>
          <w:p>
            <w:r>
              <w:rPr>
                <w:sz w:val="19"/>
              </w:rPr>
              <w:t>opportunità</w:t>
            </w:r>
          </w:p>
        </w:tc>
        <w:tc>
          <w:tcPr>
            <w:tcW w:type="dxa" w:w="1728"/>
            <w:shd w:val="clear" w:color="auto" w:fill="EEF2F1"/>
          </w:tcPr>
          <w:p>
            <w:r>
              <w:rPr>
                <w:sz w:val="19"/>
              </w:rPr>
              <w:t>—</w:t>
            </w:r>
          </w:p>
        </w:tc>
        <w:tc>
          <w:tcPr>
            <w:tcW w:type="dxa" w:w="1728"/>
            <w:shd w:val="clear" w:color="auto" w:fill="EEF2F1"/>
          </w:tcPr>
          <w:p>
            <w:r>
              <w:rPr>
                <w:sz w:val="19"/>
              </w:rPr>
              <w:t>pilota in lingua a budget contenuto (ipotesi da testare)</w:t>
            </w:r>
          </w:p>
        </w:tc>
      </w:tr>
      <w:tr>
        <w:tc>
          <w:tcPr>
            <w:tcW w:type="dxa" w:w="1728"/>
          </w:tcPr>
          <w:p>
            <w:r>
              <w:rPr>
                <w:sz w:val="19"/>
              </w:rPr>
              <w:t>France</w:t>
            </w:r>
          </w:p>
        </w:tc>
        <w:tc>
          <w:tcPr>
            <w:tcW w:type="dxa" w:w="1728"/>
          </w:tcPr>
          <w:p>
            <w:r>
              <w:rPr>
                <w:sz w:val="19"/>
              </w:rPr>
              <w:t>francese</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Bulgaria</w:t>
            </w:r>
          </w:p>
        </w:tc>
        <w:tc>
          <w:tcPr>
            <w:tcW w:type="dxa" w:w="1728"/>
            <w:shd w:val="clear" w:color="auto" w:fill="EEF2F1"/>
          </w:tcPr>
          <w:p>
            <w:r>
              <w:rPr>
                <w:sz w:val="19"/>
              </w:rPr>
              <w:t>bulgaro</w:t>
            </w:r>
          </w:p>
        </w:tc>
        <w:tc>
          <w:tcPr>
            <w:tcW w:type="dxa" w:w="1728"/>
            <w:shd w:val="clear" w:color="auto" w:fill="EEF2F1"/>
          </w:tcPr>
          <w:p>
            <w:r>
              <w:rPr>
                <w:sz w:val="19"/>
              </w:rPr>
              <w:t>opportunità</w:t>
            </w:r>
          </w:p>
        </w:tc>
        <w:tc>
          <w:tcPr>
            <w:tcW w:type="dxa" w:w="1728"/>
            <w:shd w:val="clear" w:color="auto" w:fill="EEF2F1"/>
          </w:tcPr>
          <w:p>
            <w:r>
              <w:rPr>
                <w:sz w:val="19"/>
              </w:rPr>
              <w:t>luglio→ottobre</w:t>
            </w:r>
          </w:p>
        </w:tc>
        <w:tc>
          <w:tcPr>
            <w:tcW w:type="dxa" w:w="1728"/>
            <w:shd w:val="clear" w:color="auto" w:fill="EEF2F1"/>
          </w:tcPr>
          <w:p>
            <w:r>
              <w:rPr>
                <w:sz w:val="19"/>
              </w:rPr>
              <w:t>pilota in lingua a budget contenuto (ipotesi da testare)</w:t>
            </w:r>
          </w:p>
        </w:tc>
      </w:tr>
      <w:tr>
        <w:tc>
          <w:tcPr>
            <w:tcW w:type="dxa" w:w="1728"/>
          </w:tcPr>
          <w:p>
            <w:r>
              <w:rPr>
                <w:sz w:val="19"/>
              </w:rPr>
              <w:t>Lithuania</w:t>
            </w:r>
          </w:p>
        </w:tc>
        <w:tc>
          <w:tcPr>
            <w:tcW w:type="dxa" w:w="1728"/>
          </w:tcPr>
          <w:p>
            <w:r>
              <w:rPr>
                <w:sz w:val="19"/>
              </w:rPr>
              <w:t>lituano</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Luxembourg</w:t>
            </w:r>
          </w:p>
        </w:tc>
        <w:tc>
          <w:tcPr>
            <w:tcW w:type="dxa" w:w="1728"/>
            <w:shd w:val="clear" w:color="auto" w:fill="EEF2F1"/>
          </w:tcPr>
          <w:p>
            <w:r>
              <w:rPr>
                <w:sz w:val="19"/>
              </w:rPr>
              <w:t>francese, tedesco, lussemburghese</w:t>
            </w:r>
          </w:p>
        </w:tc>
        <w:tc>
          <w:tcPr>
            <w:tcW w:type="dxa" w:w="1728"/>
            <w:shd w:val="clear" w:color="auto" w:fill="EEF2F1"/>
          </w:tcPr>
          <w:p>
            <w:r>
              <w:rPr>
                <w:sz w:val="19"/>
              </w:rPr>
              <w:t>presente nel mix</w:t>
            </w:r>
          </w:p>
        </w:tc>
        <w:tc>
          <w:tcPr>
            <w:tcW w:type="dxa" w:w="1728"/>
            <w:shd w:val="clear" w:color="auto" w:fill="EEF2F1"/>
          </w:tcPr>
          <w:p>
            <w:r>
              <w:rPr>
                <w:sz w:val="19"/>
              </w:rPr>
              <w:t>luglio→settembre</w:t>
            </w:r>
          </w:p>
        </w:tc>
        <w:tc>
          <w:tcPr>
            <w:tcW w:type="dxa" w:w="1728"/>
            <w:shd w:val="clear" w:color="auto" w:fill="EEF2F1"/>
          </w:tcPr>
          <w:p>
            <w:r>
              <w:rPr>
                <w:sz w:val="19"/>
              </w:rPr>
              <w:t>campagna in lingua nella finestra indicata</w:t>
            </w:r>
          </w:p>
        </w:tc>
      </w:tr>
      <w:tr>
        <w:tc>
          <w:tcPr>
            <w:tcW w:type="dxa" w:w="1728"/>
          </w:tcPr>
          <w:p>
            <w:r>
              <w:rPr>
                <w:sz w:val="19"/>
              </w:rPr>
              <w:t>Austria</w:t>
            </w:r>
          </w:p>
        </w:tc>
        <w:tc>
          <w:tcPr>
            <w:tcW w:type="dxa" w:w="1728"/>
          </w:tcPr>
          <w:p>
            <w:r>
              <w:rPr>
                <w:sz w:val="19"/>
              </w:rPr>
              <w:t>tedesco</w:t>
            </w:r>
          </w:p>
        </w:tc>
        <w:tc>
          <w:tcPr>
            <w:tcW w:type="dxa" w:w="1728"/>
          </w:tcPr>
          <w:p>
            <w:r>
              <w:rPr>
                <w:sz w:val="19"/>
              </w:rPr>
              <w:t>presente nel mix</w:t>
            </w:r>
          </w:p>
        </w:tc>
        <w:tc>
          <w:tcPr>
            <w:tcW w:type="dxa" w:w="1728"/>
          </w:tcPr>
          <w:p>
            <w:r>
              <w:rPr>
                <w:sz w:val="19"/>
              </w:rPr>
              <w:t>luglio→agosto</w:t>
            </w:r>
          </w:p>
        </w:tc>
        <w:tc>
          <w:tcPr>
            <w:tcW w:type="dxa" w:w="1728"/>
          </w:tcPr>
          <w:p>
            <w:r>
              <w:rPr>
                <w:sz w:val="19"/>
              </w:rPr>
              <w:t>campagna in lingua nella finestra indicata</w:t>
            </w:r>
          </w:p>
        </w:tc>
      </w:tr>
      <w:tr>
        <w:tc>
          <w:tcPr>
            <w:tcW w:type="dxa" w:w="1728"/>
            <w:shd w:val="clear" w:color="auto" w:fill="EEF2F1"/>
          </w:tcPr>
          <w:p>
            <w:r>
              <w:rPr>
                <w:sz w:val="19"/>
              </w:rPr>
              <w:t>Spain</w:t>
            </w:r>
          </w:p>
        </w:tc>
        <w:tc>
          <w:tcPr>
            <w:tcW w:type="dxa" w:w="1728"/>
            <w:shd w:val="clear" w:color="auto" w:fill="EEF2F1"/>
          </w:tcPr>
          <w:p>
            <w:r>
              <w:rPr>
                <w:sz w:val="19"/>
              </w:rPr>
              <w:t>spagnolo</w:t>
            </w:r>
          </w:p>
        </w:tc>
        <w:tc>
          <w:tcPr>
            <w:tcW w:type="dxa" w:w="1728"/>
            <w:shd w:val="clear" w:color="auto" w:fill="EEF2F1"/>
          </w:tcPr>
          <w:p>
            <w:r>
              <w:rPr>
                <w:sz w:val="19"/>
              </w:rPr>
              <w:t>opportunità</w:t>
            </w:r>
          </w:p>
        </w:tc>
        <w:tc>
          <w:tcPr>
            <w:tcW w:type="dxa" w:w="1728"/>
            <w:shd w:val="clear" w:color="auto" w:fill="EEF2F1"/>
          </w:tcPr>
          <w:p>
            <w:r>
              <w:rPr>
                <w:sz w:val="19"/>
              </w:rPr>
              <w:t>—</w:t>
            </w:r>
          </w:p>
        </w:tc>
        <w:tc>
          <w:tcPr>
            <w:tcW w:type="dxa" w:w="1728"/>
            <w:shd w:val="clear" w:color="auto" w:fill="EEF2F1"/>
          </w:tcPr>
          <w:p>
            <w:r>
              <w:rPr>
                <w:sz w:val="19"/>
              </w:rPr>
              <w:t>pilota in lingua a budget contenuto (ipotesi da testare)</w:t>
            </w:r>
          </w:p>
        </w:tc>
      </w:tr>
      <w:tr>
        <w:tc>
          <w:tcPr>
            <w:tcW w:type="dxa" w:w="1728"/>
          </w:tcPr>
          <w:p>
            <w:r>
              <w:rPr>
                <w:sz w:val="19"/>
              </w:rPr>
              <w:t>Czechia</w:t>
            </w:r>
          </w:p>
        </w:tc>
        <w:tc>
          <w:tcPr>
            <w:tcW w:type="dxa" w:w="1728"/>
          </w:tcPr>
          <w:p>
            <w:r>
              <w:rPr>
                <w:sz w:val="19"/>
              </w:rPr>
              <w:t>ceco</w:t>
            </w:r>
          </w:p>
        </w:tc>
        <w:tc>
          <w:tcPr>
            <w:tcW w:type="dxa" w:w="1728"/>
          </w:tcPr>
          <w:p>
            <w:r>
              <w:rPr>
                <w:sz w:val="19"/>
              </w:rPr>
              <w:t>opportunità</w:t>
            </w:r>
          </w:p>
        </w:tc>
        <w:tc>
          <w:tcPr>
            <w:tcW w:type="dxa" w:w="1728"/>
          </w:tcPr>
          <w:p>
            <w:r>
              <w:rPr>
                <w:sz w:val="19"/>
              </w:rPr>
              <w:t>luglio→ottobre</w:t>
            </w:r>
          </w:p>
        </w:tc>
        <w:tc>
          <w:tcPr>
            <w:tcW w:type="dxa" w:w="1728"/>
          </w:tcPr>
          <w:p>
            <w:r>
              <w:rPr>
                <w:sz w:val="19"/>
              </w:rPr>
              <w:t>pilota in lingua a budget contenuto (ipotesi da testare)</w:t>
            </w:r>
          </w:p>
        </w:tc>
      </w:tr>
      <w:tr>
        <w:tc>
          <w:tcPr>
            <w:tcW w:type="dxa" w:w="1728"/>
            <w:shd w:val="clear" w:color="auto" w:fill="EEF2F1"/>
          </w:tcPr>
          <w:p>
            <w:r>
              <w:rPr>
                <w:sz w:val="19"/>
              </w:rPr>
              <w:t>Moldova</w:t>
            </w:r>
          </w:p>
        </w:tc>
        <w:tc>
          <w:tcPr>
            <w:tcW w:type="dxa" w:w="1728"/>
            <w:shd w:val="clear" w:color="auto" w:fill="EEF2F1"/>
          </w:tcPr>
          <w:p>
            <w:r>
              <w:rPr>
                <w:sz w:val="19"/>
              </w:rPr>
              <w:t>rumeno, russo</w:t>
            </w:r>
          </w:p>
        </w:tc>
        <w:tc>
          <w:tcPr>
            <w:tcW w:type="dxa" w:w="1728"/>
            <w:shd w:val="clear" w:color="auto" w:fill="EEF2F1"/>
          </w:tcPr>
          <w:p>
            <w:r>
              <w:rPr>
                <w:sz w:val="19"/>
              </w:rPr>
              <w:t>opportunità</w:t>
            </w:r>
          </w:p>
        </w:tc>
        <w:tc>
          <w:tcPr>
            <w:tcW w:type="dxa" w:w="1728"/>
            <w:shd w:val="clear" w:color="auto" w:fill="EEF2F1"/>
          </w:tcPr>
          <w:p>
            <w:r>
              <w:rPr>
                <w:sz w:val="19"/>
              </w:rPr>
              <w:t>luglio→settembre</w:t>
            </w:r>
          </w:p>
        </w:tc>
        <w:tc>
          <w:tcPr>
            <w:tcW w:type="dxa" w:w="1728"/>
            <w:shd w:val="clear" w:color="auto" w:fill="EEF2F1"/>
          </w:tcPr>
          <w:p>
            <w:r>
              <w:rPr>
                <w:sz w:val="19"/>
              </w:rPr>
              <w:t>pilota in lingua a budget contenuto (ipotesi da testare)</w:t>
            </w:r>
          </w:p>
        </w:tc>
      </w:tr>
    </w:tbl>
    <w:p>
      <w:pPr>
        <w:spacing w:after="160"/>
      </w:pPr>
    </w:p>
    <w:p>
      <w:r>
        <w:t>Il Mediterraneo lavora oggi su una base quasi interamente italiana (84,8% delle recensioni Booking in lingua italiana) con due code minori — tedesco 5,1%, inglese 3,7% — che restano frazioni troppo piccole per giustificare campagne dedicate a budget pieno finché non sono validate. Il geo-targeting paid segue quindi una logica a due velocità: l'Italia come mercato primario, presidiato su tutte le finestre stagionali dell'hotel year-round; il tedesco come pilota contenuto nella finestra in cui quel pubblico decide, senza sottrarre budget al mercato che oggi genera la domanda reale.</w:t>
      </w:r>
    </w:p>
    <w:p>
      <w:pPr>
        <w:spacing w:before="160" w:after="40"/>
      </w:pPr>
      <w:r>
        <w:rPr>
          <w:b/>
          <w:color w:val="2F5D62"/>
          <w:sz w:val="24"/>
        </w:rPr>
        <w:t>Obiettivi misurabili</w:t>
      </w:r>
    </w:p>
    <w:p>
      <w:pPr>
        <w:pStyle w:val="ListBullet"/>
      </w:pPr>
      <w:r>
        <w:t>Copertura geo dell'Italia impostata su raggio drive-in dal bacino Emilia-Romagna/Nord Italia più le città con collegamento diretto verso Rimini/Bologna per il segmento leisure e business</w:t>
      </w:r>
    </w:p>
    <w:p>
      <w:pPr>
        <w:pStyle w:val="ListBullet"/>
      </w:pPr>
      <w:r>
        <w:t>Pilota lingua tedesca acceso solo dentro la finestra di anticipo di spesa già definita (maggio-giugno-luglio) e con budget contenuto rispetto al non-brand italiano</w:t>
      </w:r>
    </w:p>
    <w:p>
      <w:pPr>
        <w:pStyle w:val="ListBullet"/>
      </w:pPr>
      <w:r>
        <w:t>Nessuna campagna aperta su mercati oltre a quelli già presenti nel mix reale (italiano, tedesco, inglese) finché non emergono segnali di domanda aggiuntivi</w:t>
      </w:r>
    </w:p>
    <w:p>
      <w:pPr>
        <w:spacing w:before="160" w:after="40"/>
      </w:pPr>
      <w:r>
        <w:rPr>
          <w:b/>
          <w:color w:val="2F5D62"/>
          <w:sz w:val="24"/>
        </w:rPr>
        <w:t>Azioni</w:t>
      </w:r>
    </w:p>
    <w:p>
      <w:r>
        <w:t>La campagna non-brand italiana resta l'unica a copertura piena e continuativa: il pubblico domestico si muove in auto o treno sulla costa adriatica, quindi il targeting geo privilegia i bacini di provenienza reali del cliente business e leisure — Emilia-Romagna, Nord e Centro Italia — senza dispersione su regioni distanti dove il viaggio non è realistico in giornata o weekend. Sul fronte estero, il tedesco è l'unico mercato con una base misurabile nel mix attuale (55 recensioni Booking su 1083) e con un lead time lungo tipico di chi sceglie l'Italia già in primavera: per questo il pilota in lingua tedesca si accende in anticipo, dentro la finestra di spesa maggio-giugno-luglio già stabilita, e resta un test dichiarato — non una scommessa a budget pieno. L'inglese, oggi marginale (3,7%) e senza una base HolidayCheck o portale DACH equivalente a supportarlo, non riceve una campagna propria in questa fase: resta coperto passivamente dalla campagna brand e da eventuale traffico Hotel Ads, senza investimento aggiuntivo. Il francese (1,3%) e ogni altro mercato non presente nel mix reale restano fuori: aprire una campagna lingua per un pubblico che oggi non prenota sarebbe un budget spostato dal mercato che already funziona verso un'ipotesi non testata. Il layer Hotel Ads, quando la connettività tariffaria sarà verificata, eredita la stessa priorità geografica: Italia come copertura primaria, Germania come estensione pilota nella stessa finestra.</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Mercato</w:t>
            </w:r>
          </w:p>
        </w:tc>
        <w:tc>
          <w:tcPr>
            <w:tcW w:type="dxa" w:w="2160"/>
            <w:shd w:val="clear" w:color="auto" w:fill="2F5D62"/>
          </w:tcPr>
          <w:p>
            <w:r>
              <w:rPr>
                <w:b/>
                <w:color w:val="FFFFFF"/>
                <w:sz w:val="19"/>
              </w:rPr>
              <w:t>Stato nel mix</w:t>
            </w:r>
          </w:p>
        </w:tc>
        <w:tc>
          <w:tcPr>
            <w:tcW w:type="dxa" w:w="2160"/>
            <w:shd w:val="clear" w:color="auto" w:fill="2F5D62"/>
          </w:tcPr>
          <w:p>
            <w:r>
              <w:rPr>
                <w:b/>
                <w:color w:val="FFFFFF"/>
                <w:sz w:val="19"/>
              </w:rPr>
              <w:t>Azione PPC</w:t>
            </w:r>
          </w:p>
        </w:tc>
        <w:tc>
          <w:tcPr>
            <w:tcW w:type="dxa" w:w="2160"/>
            <w:shd w:val="clear" w:color="auto" w:fill="2F5D62"/>
          </w:tcPr>
          <w:p>
            <w:r>
              <w:rPr>
                <w:b/>
                <w:color w:val="FFFFFF"/>
                <w:sz w:val="19"/>
              </w:rPr>
              <w:t>Finestra</w:t>
            </w:r>
          </w:p>
        </w:tc>
      </w:tr>
      <w:tr>
        <w:tc>
          <w:tcPr>
            <w:tcW w:type="dxa" w:w="2160"/>
          </w:tcPr>
          <w:p>
            <w:r>
              <w:rPr>
                <w:sz w:val="19"/>
              </w:rPr>
              <w:t>Italia</w:t>
            </w:r>
          </w:p>
        </w:tc>
        <w:tc>
          <w:tcPr>
            <w:tcW w:type="dxa" w:w="2160"/>
          </w:tcPr>
          <w:p>
            <w:r>
              <w:rPr>
                <w:sz w:val="19"/>
              </w:rPr>
              <w:t>84,8% del mix (lingua recensioni Booking)</w:t>
            </w:r>
          </w:p>
        </w:tc>
        <w:tc>
          <w:tcPr>
            <w:tcW w:type="dxa" w:w="2160"/>
          </w:tcPr>
          <w:p>
            <w:r>
              <w:rPr>
                <w:sz w:val="19"/>
              </w:rPr>
              <w:t>Copertura piena, always-on su tutte le campagne</w:t>
            </w:r>
          </w:p>
        </w:tc>
        <w:tc>
          <w:tcPr>
            <w:tcW w:type="dxa" w:w="2160"/>
          </w:tcPr>
          <w:p>
            <w:r>
              <w:rPr>
                <w:sz w:val="19"/>
              </w:rPr>
              <w:t>Continuativa, con anticipo di spesa mag-giu-lug</w:t>
            </w:r>
          </w:p>
        </w:tc>
      </w:tr>
      <w:tr>
        <w:tc>
          <w:tcPr>
            <w:tcW w:type="dxa" w:w="2160"/>
            <w:shd w:val="clear" w:color="auto" w:fill="EEF2F1"/>
          </w:tcPr>
          <w:p>
            <w:r>
              <w:rPr>
                <w:sz w:val="19"/>
              </w:rPr>
              <w:t>Germania</w:t>
            </w:r>
          </w:p>
        </w:tc>
        <w:tc>
          <w:tcPr>
            <w:tcW w:type="dxa" w:w="2160"/>
            <w:shd w:val="clear" w:color="auto" w:fill="EEF2F1"/>
          </w:tcPr>
          <w:p>
            <w:r>
              <w:rPr>
                <w:sz w:val="19"/>
              </w:rPr>
              <w:t>5,1% del mix, presenza debole su HolidayCheck (6,3/10, 8 recensioni)</w:t>
            </w:r>
          </w:p>
        </w:tc>
        <w:tc>
          <w:tcPr>
            <w:tcW w:type="dxa" w:w="2160"/>
            <w:shd w:val="clear" w:color="auto" w:fill="EEF2F1"/>
          </w:tcPr>
          <w:p>
            <w:r>
              <w:rPr>
                <w:sz w:val="19"/>
              </w:rPr>
              <w:t>Pilota in lingua tedesca a budget contenuto</w:t>
            </w:r>
          </w:p>
        </w:tc>
        <w:tc>
          <w:tcPr>
            <w:tcW w:type="dxa" w:w="2160"/>
            <w:shd w:val="clear" w:color="auto" w:fill="EEF2F1"/>
          </w:tcPr>
          <w:p>
            <w:r>
              <w:rPr>
                <w:sz w:val="19"/>
              </w:rPr>
              <w:t>Mag-giu-lug (finestra di anticipo)</w:t>
            </w:r>
          </w:p>
        </w:tc>
      </w:tr>
      <w:tr>
        <w:tc>
          <w:tcPr>
            <w:tcW w:type="dxa" w:w="2160"/>
          </w:tcPr>
          <w:p>
            <w:r>
              <w:rPr>
                <w:sz w:val="19"/>
              </w:rPr>
              <w:t>Regno Unito/inglese</w:t>
            </w:r>
          </w:p>
        </w:tc>
        <w:tc>
          <w:tcPr>
            <w:tcW w:type="dxa" w:w="2160"/>
          </w:tcPr>
          <w:p>
            <w:r>
              <w:rPr>
                <w:sz w:val="19"/>
              </w:rPr>
              <w:t>3,7% del mix</w:t>
            </w:r>
          </w:p>
        </w:tc>
        <w:tc>
          <w:tcPr>
            <w:tcW w:type="dxa" w:w="2160"/>
          </w:tcPr>
          <w:p>
            <w:r>
              <w:rPr>
                <w:sz w:val="19"/>
              </w:rPr>
              <w:t>Nessuna campagna dedicata: copertura passiva via brand/Hotel Ads</w:t>
            </w:r>
          </w:p>
        </w:tc>
        <w:tc>
          <w:tcPr>
            <w:tcW w:type="dxa" w:w="2160"/>
          </w:tcPr>
          <w:p>
            <w:r>
              <w:rPr>
                <w:sz w:val="19"/>
              </w:rPr>
              <w:t>N/A</w:t>
            </w:r>
          </w:p>
        </w:tc>
      </w:tr>
      <w:tr>
        <w:tc>
          <w:tcPr>
            <w:tcW w:type="dxa" w:w="2160"/>
            <w:shd w:val="clear" w:color="auto" w:fill="EEF2F1"/>
          </w:tcPr>
          <w:p>
            <w:r>
              <w:rPr>
                <w:sz w:val="19"/>
              </w:rPr>
              <w:t>Francia e altri</w:t>
            </w:r>
          </w:p>
        </w:tc>
        <w:tc>
          <w:tcPr>
            <w:tcW w:type="dxa" w:w="2160"/>
            <w:shd w:val="clear" w:color="auto" w:fill="EEF2F1"/>
          </w:tcPr>
          <w:p>
            <w:r>
              <w:rPr>
                <w:sz w:val="19"/>
              </w:rPr>
              <w:t>1,3% o meno, code minori</w:t>
            </w:r>
          </w:p>
        </w:tc>
        <w:tc>
          <w:tcPr>
            <w:tcW w:type="dxa" w:w="2160"/>
            <w:shd w:val="clear" w:color="auto" w:fill="EEF2F1"/>
          </w:tcPr>
          <w:p>
            <w:r>
              <w:rPr>
                <w:sz w:val="19"/>
              </w:rPr>
              <w:t>Fuori perimetro: nessun investimento</w:t>
            </w:r>
          </w:p>
        </w:tc>
        <w:tc>
          <w:tcPr>
            <w:tcW w:type="dxa" w:w="2160"/>
            <w:shd w:val="clear" w:color="auto" w:fill="EEF2F1"/>
          </w:tcPr>
          <w:p>
            <w:r>
              <w:rPr>
                <w:sz w:val="19"/>
              </w:rPr>
              <w:t>N/A</w:t>
            </w:r>
          </w:p>
        </w:tc>
      </w:tr>
    </w:tbl>
    <w:p>
      <w:pPr>
        <w:spacing w:after="160"/>
      </w:pPr>
    </w:p>
    <w:p>
      <w:pPr>
        <w:spacing w:before="160" w:after="40"/>
      </w:pPr>
      <w:r>
        <w:rPr>
          <w:b/>
          <w:color w:val="2F5D62"/>
          <w:sz w:val="24"/>
        </w:rPr>
        <w:t>KPI</w:t>
      </w:r>
    </w:p>
    <w:p>
      <w:pPr>
        <w:pStyle w:val="ListBullet"/>
      </w:pPr>
      <w:r>
        <w:t>Quota di spesa e di conversioni generate dall'Italia rispetto al totale non-brand, letta mensilmente per verificare che il mercato primario resti prioritario</w:t>
      </w:r>
    </w:p>
    <w:p>
      <w:pPr>
        <w:pStyle w:val="ListBullet"/>
      </w:pPr>
      <w:r>
        <w:t>CPC e costo per richiesta di preventivo del pilota tedesco confrontati con lo stesso KPI sulla campagna italiana, per decidere se estendere o chiudere il test a fine finestra</w:t>
      </w:r>
    </w:p>
    <w:p>
      <w:pPr>
        <w:pStyle w:val="ListBullet"/>
      </w:pPr>
      <w:r>
        <w:t>Volume di richieste di preventivo attribuibili al pilota DACH: sotto una soglia minima di significatività il test si considera non conclusivo, non negativo</w:t>
      </w:r>
    </w:p>
    <w:p>
      <w:pPr>
        <w:spacing w:before="160" w:after="40"/>
      </w:pPr>
      <w:r>
        <w:rPr>
          <w:b/>
          <w:color w:val="2F5D62"/>
          <w:sz w:val="24"/>
        </w:rPr>
        <w:t>Note esecutive</w:t>
      </w:r>
    </w:p>
    <w:p>
      <w:r>
        <w:t>Il pilota tedesco va costruito come campagna separata, non come estensione lingua della campagna italiana: creativi, landing e conversione tracciata restano identificabili singolarmente per poter giudicare il test in isolamento a fine stagione. L'apertura a nuovi mercati esteri oltre a quelli qui elencati non è preclusa in linea di principio, ma richiede prima un segnale reale — crescita organica del mix lingue, richieste dirette, o un'indicazione dal Piano Strategico — e non un'estensione geo decisa in sede di gestione tattica dell'account.</w:t>
      </w:r>
    </w:p>
    <w:p>
      <w:r>
        <w:br w:type="page"/>
      </w:r>
    </w:p>
    <w:p>
      <w:pPr>
        <w:spacing w:after="0"/>
      </w:pPr>
      <w:r>
        <w:rPr>
          <w:b/>
          <w:color w:val="2F5D62"/>
          <w:sz w:val="18"/>
        </w:rPr>
        <w:t>SEZIONE 06</w:t>
      </w:r>
    </w:p>
    <w:p>
      <w:pPr>
        <w:spacing w:after="200"/>
        <w:pBdr>
          <w:bottom w:val="single" w:sz="18" w:space="6" w:color="2F5D62"/>
        </w:pBdr>
      </w:pPr>
      <w:r>
        <w:rPr>
          <w:b/>
          <w:color w:val="1A1A2E"/>
          <w:sz w:val="40"/>
        </w:rPr>
        <w:t>Calendario e pacing</w:t>
      </w:r>
    </w:p>
    <w:p>
      <w:pPr>
        <w:spacing w:before="160" w:after="40"/>
      </w:pPr>
      <w:r>
        <w:rPr>
          <w:b/>
          <w:color w:val="2F5D62"/>
          <w:sz w:val="24"/>
        </w:rPr>
        <w:t>Distribuzione mensile della domanda di ricerca (Keyword Planner, quota % sul totale annuo)</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Mese</w:t>
            </w:r>
          </w:p>
        </w:tc>
        <w:tc>
          <w:tcPr>
            <w:tcW w:type="dxa" w:w="4320"/>
            <w:shd w:val="clear" w:color="auto" w:fill="2F5D62"/>
          </w:tcPr>
          <w:p>
            <w:r>
              <w:rPr>
                <w:b/>
                <w:color w:val="FFFFFF"/>
                <w:sz w:val="19"/>
              </w:rPr>
              <w:t>Quota domanda</w:t>
            </w:r>
          </w:p>
        </w:tc>
      </w:tr>
      <w:tr>
        <w:tc>
          <w:tcPr>
            <w:tcW w:type="dxa" w:w="4320"/>
          </w:tcPr>
          <w:p>
            <w:r>
              <w:rPr>
                <w:sz w:val="19"/>
              </w:rPr>
              <w:t>gen</w:t>
            </w:r>
          </w:p>
        </w:tc>
        <w:tc>
          <w:tcPr>
            <w:tcW w:type="dxa" w:w="4320"/>
          </w:tcPr>
          <w:p>
            <w:r>
              <w:rPr>
                <w:sz w:val="19"/>
              </w:rPr>
              <w:t>5,6%</w:t>
            </w:r>
          </w:p>
        </w:tc>
      </w:tr>
      <w:tr>
        <w:tc>
          <w:tcPr>
            <w:tcW w:type="dxa" w:w="4320"/>
            <w:shd w:val="clear" w:color="auto" w:fill="EEF2F1"/>
          </w:tcPr>
          <w:p>
            <w:r>
              <w:rPr>
                <w:sz w:val="19"/>
              </w:rPr>
              <w:t>feb</w:t>
            </w:r>
          </w:p>
        </w:tc>
        <w:tc>
          <w:tcPr>
            <w:tcW w:type="dxa" w:w="4320"/>
            <w:shd w:val="clear" w:color="auto" w:fill="EEF2F1"/>
          </w:tcPr>
          <w:p>
            <w:r>
              <w:rPr>
                <w:sz w:val="19"/>
              </w:rPr>
              <w:t>5,4%</w:t>
            </w:r>
          </w:p>
        </w:tc>
      </w:tr>
      <w:tr>
        <w:tc>
          <w:tcPr>
            <w:tcW w:type="dxa" w:w="4320"/>
          </w:tcPr>
          <w:p>
            <w:r>
              <w:rPr>
                <w:sz w:val="19"/>
              </w:rPr>
              <w:t>mar</w:t>
            </w:r>
          </w:p>
        </w:tc>
        <w:tc>
          <w:tcPr>
            <w:tcW w:type="dxa" w:w="4320"/>
          </w:tcPr>
          <w:p>
            <w:r>
              <w:rPr>
                <w:sz w:val="19"/>
              </w:rPr>
              <w:t>7,0%</w:t>
            </w:r>
          </w:p>
        </w:tc>
      </w:tr>
      <w:tr>
        <w:tc>
          <w:tcPr>
            <w:tcW w:type="dxa" w:w="4320"/>
            <w:shd w:val="clear" w:color="auto" w:fill="EEF2F1"/>
          </w:tcPr>
          <w:p>
            <w:r>
              <w:rPr>
                <w:sz w:val="19"/>
              </w:rPr>
              <w:t>apr</w:t>
            </w:r>
          </w:p>
        </w:tc>
        <w:tc>
          <w:tcPr>
            <w:tcW w:type="dxa" w:w="4320"/>
            <w:shd w:val="clear" w:color="auto" w:fill="EEF2F1"/>
          </w:tcPr>
          <w:p>
            <w:r>
              <w:rPr>
                <w:sz w:val="19"/>
              </w:rPr>
              <w:t>8,1%</w:t>
            </w:r>
          </w:p>
        </w:tc>
      </w:tr>
      <w:tr>
        <w:tc>
          <w:tcPr>
            <w:tcW w:type="dxa" w:w="4320"/>
          </w:tcPr>
          <w:p>
            <w:r>
              <w:rPr>
                <w:sz w:val="19"/>
              </w:rPr>
              <w:t>mag</w:t>
            </w:r>
          </w:p>
        </w:tc>
        <w:tc>
          <w:tcPr>
            <w:tcW w:type="dxa" w:w="4320"/>
          </w:tcPr>
          <w:p>
            <w:r>
              <w:rPr>
                <w:sz w:val="19"/>
              </w:rPr>
              <w:t>11,0%</w:t>
            </w:r>
          </w:p>
        </w:tc>
      </w:tr>
      <w:tr>
        <w:tc>
          <w:tcPr>
            <w:tcW w:type="dxa" w:w="4320"/>
            <w:shd w:val="clear" w:color="auto" w:fill="EEF2F1"/>
          </w:tcPr>
          <w:p>
            <w:r>
              <w:rPr>
                <w:sz w:val="19"/>
              </w:rPr>
              <w:t>giu</w:t>
            </w:r>
          </w:p>
        </w:tc>
        <w:tc>
          <w:tcPr>
            <w:tcW w:type="dxa" w:w="4320"/>
            <w:shd w:val="clear" w:color="auto" w:fill="EEF2F1"/>
          </w:tcPr>
          <w:p>
            <w:r>
              <w:rPr>
                <w:sz w:val="19"/>
              </w:rPr>
              <w:t>16,1%</w:t>
            </w:r>
          </w:p>
        </w:tc>
      </w:tr>
      <w:tr>
        <w:tc>
          <w:tcPr>
            <w:tcW w:type="dxa" w:w="4320"/>
          </w:tcPr>
          <w:p>
            <w:r>
              <w:rPr>
                <w:sz w:val="19"/>
              </w:rPr>
              <w:t>lug</w:t>
            </w:r>
          </w:p>
        </w:tc>
        <w:tc>
          <w:tcPr>
            <w:tcW w:type="dxa" w:w="4320"/>
          </w:tcPr>
          <w:p>
            <w:r>
              <w:rPr>
                <w:sz w:val="19"/>
              </w:rPr>
              <w:t>16,1%</w:t>
            </w:r>
          </w:p>
        </w:tc>
      </w:tr>
      <w:tr>
        <w:tc>
          <w:tcPr>
            <w:tcW w:type="dxa" w:w="4320"/>
            <w:shd w:val="clear" w:color="auto" w:fill="EEF2F1"/>
          </w:tcPr>
          <w:p>
            <w:r>
              <w:rPr>
                <w:sz w:val="19"/>
              </w:rPr>
              <w:t>ago</w:t>
            </w:r>
          </w:p>
        </w:tc>
        <w:tc>
          <w:tcPr>
            <w:tcW w:type="dxa" w:w="4320"/>
            <w:shd w:val="clear" w:color="auto" w:fill="EEF2F1"/>
          </w:tcPr>
          <w:p>
            <w:r>
              <w:rPr>
                <w:sz w:val="19"/>
              </w:rPr>
              <w:t>15,2%</w:t>
            </w:r>
          </w:p>
        </w:tc>
      </w:tr>
      <w:tr>
        <w:tc>
          <w:tcPr>
            <w:tcW w:type="dxa" w:w="4320"/>
          </w:tcPr>
          <w:p>
            <w:r>
              <w:rPr>
                <w:sz w:val="19"/>
              </w:rPr>
              <w:t>set</w:t>
            </w:r>
          </w:p>
        </w:tc>
        <w:tc>
          <w:tcPr>
            <w:tcW w:type="dxa" w:w="4320"/>
          </w:tcPr>
          <w:p>
            <w:r>
              <w:rPr>
                <w:sz w:val="19"/>
              </w:rPr>
              <w:t>5,5%</w:t>
            </w:r>
          </w:p>
        </w:tc>
      </w:tr>
      <w:tr>
        <w:tc>
          <w:tcPr>
            <w:tcW w:type="dxa" w:w="4320"/>
            <w:shd w:val="clear" w:color="auto" w:fill="EEF2F1"/>
          </w:tcPr>
          <w:p>
            <w:r>
              <w:rPr>
                <w:sz w:val="19"/>
              </w:rPr>
              <w:t>ott</w:t>
            </w:r>
          </w:p>
        </w:tc>
        <w:tc>
          <w:tcPr>
            <w:tcW w:type="dxa" w:w="4320"/>
            <w:shd w:val="clear" w:color="auto" w:fill="EEF2F1"/>
          </w:tcPr>
          <w:p>
            <w:r>
              <w:rPr>
                <w:sz w:val="19"/>
              </w:rPr>
              <w:t>3,0%</w:t>
            </w:r>
          </w:p>
        </w:tc>
      </w:tr>
      <w:tr>
        <w:tc>
          <w:tcPr>
            <w:tcW w:type="dxa" w:w="4320"/>
          </w:tcPr>
          <w:p>
            <w:r>
              <w:rPr>
                <w:sz w:val="19"/>
              </w:rPr>
              <w:t>nov</w:t>
            </w:r>
          </w:p>
        </w:tc>
        <w:tc>
          <w:tcPr>
            <w:tcW w:type="dxa" w:w="4320"/>
          </w:tcPr>
          <w:p>
            <w:r>
              <w:rPr>
                <w:sz w:val="19"/>
              </w:rPr>
              <w:t>3,1%</w:t>
            </w:r>
          </w:p>
        </w:tc>
      </w:tr>
      <w:tr>
        <w:tc>
          <w:tcPr>
            <w:tcW w:type="dxa" w:w="4320"/>
            <w:shd w:val="clear" w:color="auto" w:fill="EEF2F1"/>
          </w:tcPr>
          <w:p>
            <w:r>
              <w:rPr>
                <w:sz w:val="19"/>
              </w:rPr>
              <w:t>dic</w:t>
            </w:r>
          </w:p>
        </w:tc>
        <w:tc>
          <w:tcPr>
            <w:tcW w:type="dxa" w:w="4320"/>
            <w:shd w:val="clear" w:color="auto" w:fill="EEF2F1"/>
          </w:tcPr>
          <w:p>
            <w:r>
              <w:rPr>
                <w:sz w:val="19"/>
              </w:rPr>
              <w:t>4,1%</w:t>
            </w:r>
          </w:p>
        </w:tc>
      </w:tr>
    </w:tbl>
    <w:p>
      <w:pPr>
        <w:spacing w:after="160"/>
      </w:pPr>
    </w:p>
    <w:p>
      <w:r>
        <w:t>La spesa si concentra con un mese di anticipo sulla domanda (finestra di prenotazione, non date di soggiorno): mesi di picco spesa mag, giu, lug.</w:t>
      </w:r>
    </w:p>
    <w:p>
      <w:r>
        <w:t>Il Mediterraneo è una struttura year-round e non ha un cantiere stagionale da chiudere: il pacing quindi non insegue un'apertura, ma anticipa la finestra di prenotazione. I mesi di maggio, giugno e luglio sono già indicati come picco di spesa nel decision record perché è lì che la domanda della stagione balneare si consolida in anticipo: la struttura non può reagire quando la richiesta è già in corso, deve essere visibile mentre la decisione si forma. Il calendario che segue traduce questo principio in un ritmo operativo per ciascun layer, senza toccare le cifre di budget già stabilite in sezione 07.</w:t>
      </w:r>
    </w:p>
    <w:p>
      <w:pPr>
        <w:spacing w:before="160" w:after="40"/>
      </w:pPr>
      <w:r>
        <w:rPr>
          <w:b/>
          <w:color w:val="2F5D62"/>
          <w:sz w:val="24"/>
        </w:rPr>
        <w:t>Obiettivi misurabili</w:t>
      </w:r>
    </w:p>
    <w:p>
      <w:pPr>
        <w:pStyle w:val="ListBullet"/>
      </w:pPr>
      <w:r>
        <w:t>Layer brand protection attivo tutto l'anno, senza soste, sul pavimento della forchetta indicato nel decision record</w:t>
      </w:r>
    </w:p>
    <w:p>
      <w:pPr>
        <w:pStyle w:val="ListBullet"/>
      </w:pPr>
      <w:r>
        <w:t>Incremento di spesa sui layer non-brand e Hotel Ads concentrato nei mesi di picco (maggio, giugno, luglio), coerente con la ripartizione per layer del decision record</w:t>
      </w:r>
    </w:p>
    <w:p>
      <w:pPr>
        <w:pStyle w:val="ListBullet"/>
      </w:pPr>
      <w:r>
        <w:t>Nessun mese dell'anno con budget a zero su nessun layer già attivato: il pacing modula l'intensità, non spegne i layer</w:t>
      </w:r>
    </w:p>
    <w:p>
      <w:pPr>
        <w:pStyle w:val="ListBullet"/>
      </w:pPr>
      <w:r>
        <w:t>Calendario fiere e congressi tradotto in finestre di spesa dedicate sul layer business, distinte dal picco leisure di maggio-giugno-luglio</w:t>
      </w:r>
    </w:p>
    <w:p>
      <w:pPr>
        <w:pStyle w:val="ListBullet"/>
      </w:pPr>
      <w:r>
        <w:t>Rilancio della campagna coppie/weekend nei mesi a bassa pressione commerciale, quando il costo per clic è tipicamente più accessibile</w:t>
      </w:r>
    </w:p>
    <w:p>
      <w:pPr>
        <w:spacing w:before="160" w:after="40"/>
      </w:pPr>
      <w:r>
        <w:rPr>
          <w:b/>
          <w:color w:val="2F5D62"/>
          <w:sz w:val="24"/>
        </w:rPr>
        <w:t>Azioni</w:t>
      </w:r>
    </w:p>
    <w:p>
      <w:r>
        <w:t>Il layer brand protection resta sempre acceso, dodici mesi su dodici, sul pavimento già fissato nel decision record: è il presidio minimo che protegge chi cerca già il nome della struttura, e non ha senso stagionale da rispettare. Tutti gli altri layer seguono invece un ritmo a tre velocità, scandito dal trigger dell'apertura delle rispettive finestre di domanda, non da un calendario fisso di date.</w:t>
      </w:r>
    </w:p>
    <w:p>
      <w:r>
        <w:t>La prima velocità è l'anticipo: da febbraio la campagna non-brand italiana e il layer Hotel Ads (una volta verificato il prerequisito di parità tariffaria con il partner di connettività) iniziano a salire gradualmente, perché la quota di domanda italiana che prenota con largo anticipo comincia a muoversi in questa fase e la vetrina — pagina offerte, formule famiglia, condizioni di cancellazione — deve già essere pronta e trovabile. È anche la finestra in cui si accende, se non lo è già, il pilota sulla lingua tedesca segnalato in sezione 05, perché quel mercato decide con un anticipo superiore a quello italiano.</w:t>
      </w:r>
    </w:p>
    <w:p>
      <w:r>
        <w:t>La seconda velocità è il picco: maggio, giugno e luglio sono i mesi indicati nel decision record come concentrazione dell'incremento di spesa. In questa finestra il layer search non-brand e il layer Hotel Ads salgono alla quota alta della rispettiva forchetta di ripartizione, il layer display remarketing si irrigidisce sugli abbandoni del funnel di richiesta preventivo generati dal traffico crescente, e la riserva stagionale/test viene impiegata proprio qui, quando il volume di clic è sufficiente a rendere leggibile un test di AI Max o PMax in pilota. Fuori da questa finestra il test non produce segnale utile e va tenuto fermo.</w:t>
      </w:r>
    </w:p>
    <w:p>
      <w:r>
        <w:t>La terza velocità è il presidio ravvicinato: nelle settimane immediatamente precedenti le date che restano scoperte — i cambi di settimana più deboli e i periodi di transizione tra un mese e l'altro — il layer non-brand e Hotel Ads mantengono un livello base senza scendere a zero, perché la vendita last-minute su queste finestre resta significativa anche a stagione already avviata. Il layer brand assorbe da solo la coda di chi ha già deciso; il non-brand resta comunque acceso per chi sta ancora confrontando.</w:t>
      </w:r>
    </w:p>
    <w:p>
      <w:r>
        <w:t>Il layer business/MICE segue una logica diversa e non stagionale: si accende in coincidenza con il calendario fiere e congressi di Rimini Fiera e del Palazzo dei Congressi già presidiato lato contenuti, con una finestra di spesa dedicata nelle settimane che precedono ciascun evento rilevante — tipicamente le settimane infrasettimanali, non i weekend. Questo layer convive con il picco leisure senza sovrapporsi sulle stesse settimane, perché il calendario fieristico e quello balneare occupano periodi diversi dell'anno.</w:t>
      </w:r>
    </w:p>
    <w:p>
      <w:r>
        <w:t>Un'attenzione operativa distinta va al segmento coppie/weekend, oggi sottoservito nei contenuti rispetto al suo peso reale: la campagna dedicata trova la finestra più efficiente proprio nei mesi a bassa pressione commerciale, quando la concorrenza sulle stesse query è meno intensa e il messaggio di relax/weekend si distingue meglio. È una finestra di opportunità da programmare, non un'aggiunta last-minute.</w:t>
      </w:r>
    </w:p>
    <w:p>
      <w:pPr>
        <w:spacing w:before="160" w:after="40"/>
      </w:pPr>
      <w:r>
        <w:rPr>
          <w:b/>
          <w:color w:val="2F5D62"/>
          <w:sz w:val="24"/>
        </w:rPr>
        <w:t>KPI</w:t>
      </w:r>
    </w:p>
    <w:p>
      <w:pPr>
        <w:pStyle w:val="ListBullet"/>
      </w:pPr>
      <w:r>
        <w:t>Spesa mensile per layer coerente con la ripartizione percentuale del decision record in ogni fase dell'anno, senza sconfinamenti prolungati fuori forchetta</w:t>
      </w:r>
    </w:p>
    <w:p>
      <w:pPr>
        <w:pStyle w:val="ListBullet"/>
      </w:pPr>
      <w:r>
        <w:t>Copertura impression brand stabile sopra il 90% indipendentemente dal mese, senza cali nei periodi di picco per saturazione di budget sugli altri layer</w:t>
      </w:r>
    </w:p>
    <w:p>
      <w:pPr>
        <w:pStyle w:val="ListBullet"/>
      </w:pPr>
      <w:r>
        <w:t>Attivazione puntuale della finestra business in corrispondenza di ciascuna fiera rilevante nel calendario, verificata evento per evento</w:t>
      </w:r>
    </w:p>
    <w:p>
      <w:pPr>
        <w:pStyle w:val="ListBullet"/>
      </w:pPr>
      <w:r>
        <w:t>Nessun mese con layer non-brand o Hotel Ads a spesa zero una volta superata la fase di attivazione</w:t>
      </w:r>
    </w:p>
    <w:p>
      <w:pPr>
        <w:spacing w:before="160" w:after="40"/>
      </w:pPr>
      <w:r>
        <w:rPr>
          <w:b/>
          <w:color w:val="2F5D62"/>
          <w:sz w:val="24"/>
        </w:rPr>
        <w:t>Note esecutive</w:t>
      </w:r>
    </w:p>
    <w:p>
      <w:r>
        <w:t>Il pacing qui descritto si applica sul budget stimato e sulla ripartizione per layer già fissati nel decision record: qui si stabilisce quando muovere l'intensità, non quanto spendere in valore assoluto. Il calendario fiere e congressi puntuale, con le date specifiche di ciascun evento, resta un input da acquisire dal cliente prima di programmare le finestre di spesa business con precisione; fino a quel momento la finestra si stima sul ciclo fieristico generale della destinazione. Allo stesso modo, la sequenza dei mesi a bassa pressione commerciale per il layer coppie va verificata sul primo ciclo di dati raccolto in account, non assunta a tavolino.</w:t>
      </w:r>
    </w:p>
    <w:p>
      <w:r>
        <w:br w:type="page"/>
      </w:r>
    </w:p>
    <w:p>
      <w:pPr>
        <w:spacing w:after="0"/>
      </w:pPr>
      <w:r>
        <w:rPr>
          <w:b/>
          <w:color w:val="2F5D62"/>
          <w:sz w:val="18"/>
        </w:rPr>
        <w:t>SEZIONE 07</w:t>
      </w:r>
    </w:p>
    <w:p>
      <w:pPr>
        <w:spacing w:after="200"/>
        <w:pBdr>
          <w:bottom w:val="single" w:sz="18" w:space="6" w:color="2F5D62"/>
        </w:pBdr>
      </w:pPr>
      <w:r>
        <w:rPr>
          <w:b/>
          <w:color w:val="1A1A2E"/>
          <w:sz w:val="40"/>
        </w:rPr>
        <w:t>Budget</w:t>
      </w:r>
    </w:p>
    <w:p>
      <w:pPr>
        <w:spacing w:before="160" w:after="40"/>
      </w:pPr>
      <w:r>
        <w:rPr>
          <w:b/>
          <w:color w:val="2F5D62"/>
          <w:sz w:val="24"/>
        </w:rPr>
        <w:t>Stima del budget (decision record PPC — da validare in agenzia)</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Voce</w:t>
            </w:r>
          </w:p>
        </w:tc>
        <w:tc>
          <w:tcPr>
            <w:tcW w:type="dxa" w:w="4320"/>
            <w:shd w:val="clear" w:color="auto" w:fill="2F5D62"/>
          </w:tcPr>
          <w:p>
            <w:r>
              <w:rPr>
                <w:b/>
                <w:color w:val="FFFFFF"/>
                <w:sz w:val="19"/>
              </w:rPr>
              <w:t>Stima</w:t>
            </w:r>
          </w:p>
        </w:tc>
      </w:tr>
      <w:tr>
        <w:tc>
          <w:tcPr>
            <w:tcW w:type="dxa" w:w="4320"/>
          </w:tcPr>
          <w:p>
            <w:r>
              <w:rPr>
                <w:sz w:val="19"/>
              </w:rPr>
              <w:t>CPC medio ponderato (pianificazione)</w:t>
            </w:r>
          </w:p>
        </w:tc>
        <w:tc>
          <w:tcPr>
            <w:tcW w:type="dxa" w:w="4320"/>
          </w:tcPr>
          <w:p>
            <w:r>
              <w:rPr>
                <w:sz w:val="19"/>
              </w:rPr>
              <w:t>2,25 €</w:t>
            </w:r>
          </w:p>
        </w:tc>
      </w:tr>
      <w:tr>
        <w:tc>
          <w:tcPr>
            <w:tcW w:type="dxa" w:w="4320"/>
            <w:shd w:val="clear" w:color="auto" w:fill="EEF2F1"/>
          </w:tcPr>
          <w:p>
            <w:r>
              <w:rPr>
                <w:sz w:val="19"/>
              </w:rPr>
              <w:t>CPA atteso alla CVR assunta (solo media)</w:t>
            </w:r>
          </w:p>
        </w:tc>
        <w:tc>
          <w:tcPr>
            <w:tcW w:type="dxa" w:w="4320"/>
            <w:shd w:val="clear" w:color="auto" w:fill="EEF2F1"/>
          </w:tcPr>
          <w:p>
            <w:r>
              <w:rPr>
                <w:sz w:val="19"/>
              </w:rPr>
              <w:t>150 €</w:t>
            </w:r>
          </w:p>
        </w:tc>
      </w:tr>
      <w:tr>
        <w:tc>
          <w:tcPr>
            <w:tcW w:type="dxa" w:w="4320"/>
          </w:tcPr>
          <w:p>
            <w:r>
              <w:rPr>
                <w:sz w:val="19"/>
              </w:rPr>
              <w:t>CPA tutto compreso (media + gestione 20%)</w:t>
            </w:r>
          </w:p>
        </w:tc>
        <w:tc>
          <w:tcPr>
            <w:tcW w:type="dxa" w:w="4320"/>
          </w:tcPr>
          <w:p>
            <w:r>
              <w:rPr>
                <w:sz w:val="19"/>
              </w:rPr>
              <w:t>180 €</w:t>
            </w:r>
          </w:p>
        </w:tc>
      </w:tr>
      <w:tr>
        <w:tc>
          <w:tcPr>
            <w:tcW w:type="dxa" w:w="4320"/>
            <w:shd w:val="clear" w:color="auto" w:fill="EEF2F1"/>
          </w:tcPr>
          <w:p>
            <w:r>
              <w:rPr>
                <w:sz w:val="19"/>
              </w:rPr>
              <w:t>Tetto CPA tutto compreso (parità commissione OTA)</w:t>
            </w:r>
          </w:p>
        </w:tc>
        <w:tc>
          <w:tcPr>
            <w:tcW w:type="dxa" w:w="4320"/>
            <w:shd w:val="clear" w:color="auto" w:fill="EEF2F1"/>
          </w:tcPr>
          <w:p>
            <w:r>
              <w:rPr>
                <w:sz w:val="19"/>
              </w:rPr>
              <w:t>277 €</w:t>
            </w:r>
          </w:p>
        </w:tc>
      </w:tr>
      <w:tr>
        <w:tc>
          <w:tcPr>
            <w:tcW w:type="dxa" w:w="4320"/>
          </w:tcPr>
          <w:p>
            <w:r>
              <w:rPr>
                <w:sz w:val="19"/>
              </w:rPr>
              <w:t>Click/mese catturabili (tetto domanda)</w:t>
            </w:r>
          </w:p>
        </w:tc>
        <w:tc>
          <w:tcPr>
            <w:tcW w:type="dxa" w:w="4320"/>
          </w:tcPr>
          <w:p>
            <w:r>
              <w:rPr>
                <w:sz w:val="19"/>
              </w:rPr>
              <w:t>1122</w:t>
            </w:r>
          </w:p>
        </w:tc>
      </w:tr>
      <w:tr>
        <w:tc>
          <w:tcPr>
            <w:tcW w:type="dxa" w:w="4320"/>
            <w:shd w:val="clear" w:color="auto" w:fill="EEF2F1"/>
          </w:tcPr>
          <w:p>
            <w:r>
              <w:rPr>
                <w:sz w:val="19"/>
              </w:rPr>
              <w:t>Budget non-brand mensile</w:t>
            </w:r>
          </w:p>
        </w:tc>
        <w:tc>
          <w:tcPr>
            <w:tcW w:type="dxa" w:w="4320"/>
            <w:shd w:val="clear" w:color="auto" w:fill="EEF2F1"/>
          </w:tcPr>
          <w:p>
            <w:r>
              <w:rPr>
                <w:sz w:val="19"/>
              </w:rPr>
              <w:t>1.500 € – 2.520 €</w:t>
            </w:r>
          </w:p>
        </w:tc>
      </w:tr>
      <w:tr>
        <w:tc>
          <w:tcPr>
            <w:tcW w:type="dxa" w:w="4320"/>
          </w:tcPr>
          <w:p>
            <w:r>
              <w:rPr>
                <w:sz w:val="19"/>
              </w:rPr>
              <w:t>Budget giornaliero TOTALE (brand inclusa)</w:t>
            </w:r>
          </w:p>
        </w:tc>
        <w:tc>
          <w:tcPr>
            <w:tcW w:type="dxa" w:w="4320"/>
          </w:tcPr>
          <w:p>
            <w:r>
              <w:rPr>
                <w:sz w:val="19"/>
              </w:rPr>
              <w:t>55 € – 100 €</w:t>
            </w:r>
          </w:p>
        </w:tc>
      </w:tr>
    </w:tbl>
    <w:p>
      <w:pPr>
        <w:spacing w:after="160"/>
      </w:pPr>
    </w:p>
    <w:p>
      <w:r>
        <w:t>Il giornaliero è una media: Google può spendere fino al doppio in un singolo giorno restando nel tetto mensile. Sotto le 30 conversioni/mese partire con Maximize Conversions/Clicks, non con target tCPA/tROAS.</w:t>
      </w:r>
    </w:p>
    <w:p>
      <w:pPr>
        <w:spacing w:before="160" w:after="40"/>
      </w:pPr>
      <w:r>
        <w:rPr>
          <w:b/>
          <w:color w:val="2F5D62"/>
          <w:sz w:val="24"/>
        </w:rPr>
        <w:t>Ripartizione fra i layer (sull'investimento PPC)</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Layer</w:t>
            </w:r>
          </w:p>
        </w:tc>
        <w:tc>
          <w:tcPr>
            <w:tcW w:type="dxa" w:w="4320"/>
            <w:shd w:val="clear" w:color="auto" w:fill="2F5D62"/>
          </w:tcPr>
          <w:p>
            <w:r>
              <w:rPr>
                <w:b/>
                <w:color w:val="FFFFFF"/>
                <w:sz w:val="19"/>
              </w:rPr>
              <w:t>Quota</w:t>
            </w:r>
          </w:p>
        </w:tc>
      </w:tr>
      <w:tr>
        <w:tc>
          <w:tcPr>
            <w:tcW w:type="dxa" w:w="4320"/>
          </w:tcPr>
          <w:p>
            <w:r>
              <w:rPr>
                <w:sz w:val="19"/>
              </w:rPr>
              <w:t>Brand protection</w:t>
            </w:r>
          </w:p>
        </w:tc>
        <w:tc>
          <w:tcPr>
            <w:tcW w:type="dxa" w:w="4320"/>
          </w:tcPr>
          <w:p>
            <w:r>
              <w:rPr>
                <w:sz w:val="19"/>
              </w:rPr>
              <w:t>dal 15% al 20%</w:t>
            </w:r>
          </w:p>
        </w:tc>
      </w:tr>
      <w:tr>
        <w:tc>
          <w:tcPr>
            <w:tcW w:type="dxa" w:w="4320"/>
            <w:shd w:val="clear" w:color="auto" w:fill="EEF2F1"/>
          </w:tcPr>
          <w:p>
            <w:r>
              <w:rPr>
                <w:sz w:val="19"/>
              </w:rPr>
              <w:t>Search non-brand / destinazione</w:t>
            </w:r>
          </w:p>
        </w:tc>
        <w:tc>
          <w:tcPr>
            <w:tcW w:type="dxa" w:w="4320"/>
            <w:shd w:val="clear" w:color="auto" w:fill="EEF2F1"/>
          </w:tcPr>
          <w:p>
            <w:r>
              <w:rPr>
                <w:sz w:val="19"/>
              </w:rPr>
              <w:t>dal 25% al 35%</w:t>
            </w:r>
          </w:p>
        </w:tc>
      </w:tr>
      <w:tr>
        <w:tc>
          <w:tcPr>
            <w:tcW w:type="dxa" w:w="4320"/>
          </w:tcPr>
          <w:p>
            <w:r>
              <w:rPr>
                <w:sz w:val="19"/>
              </w:rPr>
              <w:t>Google Hotel Ads</w:t>
            </w:r>
          </w:p>
        </w:tc>
        <w:tc>
          <w:tcPr>
            <w:tcW w:type="dxa" w:w="4320"/>
          </w:tcPr>
          <w:p>
            <w:r>
              <w:rPr>
                <w:sz w:val="19"/>
              </w:rPr>
              <w:t>dal 20% al 30%</w:t>
            </w:r>
          </w:p>
        </w:tc>
      </w:tr>
      <w:tr>
        <w:tc>
          <w:tcPr>
            <w:tcW w:type="dxa" w:w="4320"/>
            <w:shd w:val="clear" w:color="auto" w:fill="EEF2F1"/>
          </w:tcPr>
          <w:p>
            <w:r>
              <w:rPr>
                <w:sz w:val="19"/>
              </w:rPr>
              <w:t>Display remarketing</w:t>
            </w:r>
          </w:p>
        </w:tc>
        <w:tc>
          <w:tcPr>
            <w:tcW w:type="dxa" w:w="4320"/>
            <w:shd w:val="clear" w:color="auto" w:fill="EEF2F1"/>
          </w:tcPr>
          <w:p>
            <w:r>
              <w:rPr>
                <w:sz w:val="19"/>
              </w:rPr>
              <w:t>dal 10% al 15%</w:t>
            </w:r>
          </w:p>
        </w:tc>
      </w:tr>
      <w:tr>
        <w:tc>
          <w:tcPr>
            <w:tcW w:type="dxa" w:w="4320"/>
          </w:tcPr>
          <w:p>
            <w:r>
              <w:rPr>
                <w:sz w:val="19"/>
              </w:rPr>
              <w:t>Riserva stagionale / test (PMax pilota)</w:t>
            </w:r>
          </w:p>
        </w:tc>
        <w:tc>
          <w:tcPr>
            <w:tcW w:type="dxa" w:w="4320"/>
          </w:tcPr>
          <w:p>
            <w:r>
              <w:rPr>
                <w:sz w:val="19"/>
              </w:rPr>
              <w:t>dal 10% al 20%</w:t>
            </w:r>
          </w:p>
        </w:tc>
      </w:tr>
    </w:tbl>
    <w:p>
      <w:pPr>
        <w:spacing w:after="160"/>
      </w:pPr>
    </w:p>
    <w:p>
      <w:r>
        <w:t>Il budget stimato dal decision record — fascia giornaliera totale e always-on brand — non si spende in modo piatto: si governa. Il compito di questa sezione è fissare come si legge la fascia, cosa protegge il minimo, cosa limita il massimo, e con quale disciplina si passa dalle strategie di offerta manuali a quelle automatiche man mano che il volume di conversioni lo consente. La stima resta da validare in agenzia prima dell'accensione: lo si dichiara una volta e si passa all'esecuzione.</w:t>
      </w:r>
    </w:p>
    <w:p>
      <w:pPr>
        <w:spacing w:before="160" w:after="40"/>
      </w:pPr>
      <w:r>
        <w:rPr>
          <w:b/>
          <w:color w:val="2F5D62"/>
          <w:sz w:val="24"/>
        </w:rPr>
        <w:t>Obiettivi misurabili</w:t>
      </w:r>
    </w:p>
    <w:p>
      <w:pPr>
        <w:pStyle w:val="ListBullet"/>
      </w:pPr>
      <w:r>
        <w:t>Rispettare la ripartizione per layer indicata nel decision record (brand protection, search non-brand/destinazione, Google Hotel Ads, display remarketing, riserva stagionale/pilota PMax) come griglia di allocazione, non come tetto rigido da rincorrere giorno per giorno</w:t>
      </w:r>
    </w:p>
    <w:p>
      <w:pPr>
        <w:pStyle w:val="ListBullet"/>
      </w:pPr>
      <w:r>
        <w:t>Mantenere il pavimento always-on sulla campagna brand per tutti i 12 mesi, indipendentemente dal ramp-up stagionale delle altre campagne</w:t>
      </w:r>
    </w:p>
    <w:p>
      <w:pPr>
        <w:pStyle w:val="ListBullet"/>
      </w:pPr>
      <w:r>
        <w:t>Restare nella fascia giornaliera totale stimata, con revisione esplicita in agenzia prima di ogni scostamento strutturale (non tattico) dal range</w:t>
      </w:r>
    </w:p>
    <w:p>
      <w:pPr>
        <w:pStyle w:val="ListBullet"/>
      </w:pPr>
      <w:r>
        <w:t>Non attivare strategie di offerta a target (tCPA/tROAS) prima che la campagna abbia raggiunto il volume mensile di conversioni che rende quel target statisticamente governabile</w:t>
      </w:r>
    </w:p>
    <w:p>
      <w:r>
        <w:t>La fascia giornaliera totale definisce un pavimento e un tetto, e i due limiti proteggono cose diverse. Il pavimento — coincidente con l'always-on brand — protegge la raccolta di segnale: sotto quella soglia le campagne non accumulano abbastanza dati per essere ottimizzate, e ogni euro tagliato oggi si paga in settimane di apprendimento perse più avanti. Il tetto non è un limite di ambizione ma un limite di contesto: la domanda reale (calendario descritto in sezione 06) e il costo per richiesta di preventivo che una campagna può sostenere restando comunque più economica della commissione pagata su una prenotazione intermediata. Finché il costo per acquisizione diretto resta sotto quella soglia comparativa, salire nella fascia è giustificato dalla domanda; se un layer supera quella soglia senza margini di rientro, il tetto va abbassato prima, non dopo, che il mese si esaurisca.</w:t>
      </w:r>
    </w:p>
    <w:p>
      <w:r>
        <w:t>La ripartizione per layer si applica come proporzione, non come importo fisso: quando il calendario di sezione 06 sposta peso sui mesi di anticipo, tutti i layer non-brand seguono in proporzione, e il brand protection resta la sola voce a percentuale realmente stabile perché il suo compito — presidiare il nome — non ha stagionalità. Il layer Google Hotel Ads entra nella ripartizione solo dopo la verifica del partner di connettività e della parità tariffaria descritta come prerequisito nelle sezioni precedenti: fino a quel momento la sua quota resta accantonata, non redistribuita agli altri layer, perché riattivarla richiede di poter tornare rapidamente al peso previsto senza dover ricostruire il budget da zero. La riserva stagionale/test copre il pilota PMax e ogni sperimentazione: si consuma solo dentro i confini già fissati in architettura (esclusione brand, Final URL expansion disattivata) e non diventa mai la fonte per coprire un buco di performance altrove.</w:t>
      </w:r>
    </w:p>
    <w:p>
      <w:r>
        <w:t>La graduazione della strategia di offerta segue il volume, non il calendario: sotto la soglia di conversioni mensili che rende un target statisticamente solido, ogni campagna non-brand lavora a costo massimo per clic o a massimizzazione delle conversioni con tetto di spesa — mai a target di costo o di ritorno, che con pochi dati oscillano e disperdono budget invece di ottimizzarlo. Il passaggio a un target si valuta campagna per campagna, non sull'account nel suo complesso: una campagna di destinazione può maturare il volume necessario prima di una campagna tematica più stretta, e forzare entrambe sullo stesso regime penalizza quella più lenta. Il momento del passaggio viene confermato in sede di revisione con l'agenzia, non deciso automaticamente dalla piattaforma.</w:t>
      </w:r>
    </w:p>
    <w:p>
      <w:r>
        <w:t>La cadenza di revisione è mensile per il confronto tra spesa effettiva e fascia stimata, con un controllo aggiuntivo nei mesi di picco identificati in sezione 06, quando la pressione di spesa è più alta e uno scostamento non corretto si amplifica più rapidamente. Ogni revisione confronta tre cose nello stesso momento: la spesa per layer contro la ripartizione target, il costo per richiesta di preventivo contro la soglia comparativa con la commissione intermediata, e il volume di conversioni contro la soglia di graduazione della strategia di offerta. Un solo indicatore fuori range è un segnale da annotare; due indicatori fuori range nello stesso mese sono il trigger per un intervento immediato in agenzia.</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Indicatore</w:t>
            </w:r>
          </w:p>
        </w:tc>
        <w:tc>
          <w:tcPr>
            <w:tcW w:type="dxa" w:w="2880"/>
            <w:shd w:val="clear" w:color="auto" w:fill="2F5D62"/>
          </w:tcPr>
          <w:p>
            <w:r>
              <w:rPr>
                <w:b/>
                <w:color w:val="FFFFFF"/>
                <w:sz w:val="19"/>
              </w:rPr>
              <w:t>Cosa segnala</w:t>
            </w:r>
          </w:p>
        </w:tc>
        <w:tc>
          <w:tcPr>
            <w:tcW w:type="dxa" w:w="2880"/>
            <w:shd w:val="clear" w:color="auto" w:fill="2F5D62"/>
          </w:tcPr>
          <w:p>
            <w:r>
              <w:rPr>
                <w:b/>
                <w:color w:val="FFFFFF"/>
                <w:sz w:val="19"/>
              </w:rPr>
              <w:t>Cadenza di controllo</w:t>
            </w:r>
          </w:p>
        </w:tc>
      </w:tr>
      <w:tr>
        <w:tc>
          <w:tcPr>
            <w:tcW w:type="dxa" w:w="2880"/>
          </w:tcPr>
          <w:p>
            <w:r>
              <w:rPr>
                <w:sz w:val="19"/>
              </w:rPr>
              <w:t>Spesa per layer vs ripartizione target</w:t>
            </w:r>
          </w:p>
        </w:tc>
        <w:tc>
          <w:tcPr>
            <w:tcW w:type="dxa" w:w="2880"/>
          </w:tcPr>
          <w:p>
            <w:r>
              <w:rPr>
                <w:sz w:val="19"/>
              </w:rPr>
              <w:t>Deriva strutturale tra un layer e gli altri</w:t>
            </w:r>
          </w:p>
        </w:tc>
        <w:tc>
          <w:tcPr>
            <w:tcW w:type="dxa" w:w="2880"/>
          </w:tcPr>
          <w:p>
            <w:r>
              <w:rPr>
                <w:sz w:val="19"/>
              </w:rPr>
              <w:t>Mensile</w:t>
            </w:r>
          </w:p>
        </w:tc>
      </w:tr>
      <w:tr>
        <w:tc>
          <w:tcPr>
            <w:tcW w:type="dxa" w:w="2880"/>
            <w:shd w:val="clear" w:color="auto" w:fill="EEF2F1"/>
          </w:tcPr>
          <w:p>
            <w:r>
              <w:rPr>
                <w:sz w:val="19"/>
              </w:rPr>
              <w:t>Costo per richiesta di preventivo vs soglia comparativa OTA</w:t>
            </w:r>
          </w:p>
        </w:tc>
        <w:tc>
          <w:tcPr>
            <w:tcW w:type="dxa" w:w="2880"/>
            <w:shd w:val="clear" w:color="auto" w:fill="EEF2F1"/>
          </w:tcPr>
          <w:p>
            <w:r>
              <w:rPr>
                <w:sz w:val="19"/>
              </w:rPr>
              <w:t>Se l'acquisizione diretta resta più economica dell'intermediazione</w:t>
            </w:r>
          </w:p>
        </w:tc>
        <w:tc>
          <w:tcPr>
            <w:tcW w:type="dxa" w:w="2880"/>
            <w:shd w:val="clear" w:color="auto" w:fill="EEF2F1"/>
          </w:tcPr>
          <w:p>
            <w:r>
              <w:rPr>
                <w:sz w:val="19"/>
              </w:rPr>
              <w:t>Mensile, rinforzata nei mesi di picco</w:t>
            </w:r>
          </w:p>
        </w:tc>
      </w:tr>
      <w:tr>
        <w:tc>
          <w:tcPr>
            <w:tcW w:type="dxa" w:w="2880"/>
          </w:tcPr>
          <w:p>
            <w:r>
              <w:rPr>
                <w:sz w:val="19"/>
              </w:rPr>
              <w:t>Volume di conversioni mensili per campagna</w:t>
            </w:r>
          </w:p>
        </w:tc>
        <w:tc>
          <w:tcPr>
            <w:tcW w:type="dxa" w:w="2880"/>
          </w:tcPr>
          <w:p>
            <w:r>
              <w:rPr>
                <w:sz w:val="19"/>
              </w:rPr>
              <w:t>Se la campagna è matura per il passaggio a un target di offerta</w:t>
            </w:r>
          </w:p>
        </w:tc>
        <w:tc>
          <w:tcPr>
            <w:tcW w:type="dxa" w:w="2880"/>
          </w:tcPr>
          <w:p>
            <w:r>
              <w:rPr>
                <w:sz w:val="19"/>
              </w:rPr>
              <w:t>Mensile</w:t>
            </w:r>
          </w:p>
        </w:tc>
      </w:tr>
      <w:tr>
        <w:tc>
          <w:tcPr>
            <w:tcW w:type="dxa" w:w="2880"/>
            <w:shd w:val="clear" w:color="auto" w:fill="EEF2F1"/>
          </w:tcPr>
          <w:p>
            <w:r>
              <w:rPr>
                <w:sz w:val="19"/>
              </w:rPr>
              <w:t>Impression share brand</w:t>
            </w:r>
          </w:p>
        </w:tc>
        <w:tc>
          <w:tcPr>
            <w:tcW w:type="dxa" w:w="2880"/>
            <w:shd w:val="clear" w:color="auto" w:fill="EEF2F1"/>
          </w:tcPr>
          <w:p>
            <w:r>
              <w:rPr>
                <w:sz w:val="19"/>
              </w:rPr>
              <w:t>Tenuta del pavimento always-on</w:t>
            </w:r>
          </w:p>
        </w:tc>
        <w:tc>
          <w:tcPr>
            <w:tcW w:type="dxa" w:w="2880"/>
            <w:shd w:val="clear" w:color="auto" w:fill="EEF2F1"/>
          </w:tcPr>
          <w:p>
            <w:r>
              <w:rPr>
                <w:sz w:val="19"/>
              </w:rPr>
              <w:t>Mensile</w:t>
            </w:r>
          </w:p>
        </w:tc>
      </w:tr>
    </w:tbl>
    <w:p>
      <w:pPr>
        <w:spacing w:after="160"/>
      </w:pPr>
    </w:p>
    <w:p>
      <w:pPr>
        <w:spacing w:before="160" w:after="40"/>
      </w:pPr>
      <w:r>
        <w:rPr>
          <w:b/>
          <w:color w:val="2F5D62"/>
          <w:sz w:val="24"/>
        </w:rPr>
        <w:t>Note esecutive</w:t>
      </w:r>
    </w:p>
    <w:p>
      <w:r>
        <w:t>La fascia di budget e la ripartizione per layer restano, per esplicita indicazione del decision record, da validare in agenzia prima dell'accensione delle campagne non-brand: questa sezione ne governa la lettura e la disciplina di revisione, non ne modifica i valori. Qualsiasi scostamento duraturo dalla fascia o dalla ripartizione va portato in revisione con l'agenzia, non gestito in autonomia sulla piattaforma.</w:t>
      </w:r>
    </w:p>
    <w:p>
      <w:r>
        <w:br w:type="page"/>
      </w:r>
    </w:p>
    <w:p>
      <w:pPr>
        <w:spacing w:after="0"/>
      </w:pPr>
      <w:r>
        <w:rPr>
          <w:b/>
          <w:color w:val="2F5D62"/>
          <w:sz w:val="18"/>
        </w:rPr>
        <w:t>APPENDICE</w:t>
      </w:r>
    </w:p>
    <w:p>
      <w:pPr>
        <w:spacing w:after="200"/>
        <w:pBdr>
          <w:bottom w:val="single" w:sz="18" w:space="6" w:color="2F5D62"/>
        </w:pBdr>
      </w:pPr>
      <w:r>
        <w:rPr>
          <w:b/>
          <w:color w:val="1A1A2E"/>
          <w:sz w:val="40"/>
        </w:rPr>
        <w:t>Assunzioni e re-verifica</w:t>
      </w:r>
    </w:p>
    <w:p>
      <w:pPr>
        <w:spacing w:before="160" w:after="40"/>
      </w:pPr>
      <w:r>
        <w:rPr>
          <w:b/>
          <w:color w:val="2F5D62"/>
          <w:sz w:val="24"/>
        </w:rPr>
        <w:t>Assunzioni del decision record PPC</w:t>
      </w:r>
    </w:p>
    <w:p>
      <w:pPr>
        <w:pStyle w:val="ListBullet"/>
      </w:pPr>
      <w:r>
        <w:t>nessun booking engine dichiarato: conversione primaria = richiesta di preventivo; il CRM collegato permette di reimportare il valore</w:t>
      </w:r>
    </w:p>
    <w:p>
      <w:pPr>
        <w:pStyle w:val="ListBullet"/>
      </w:pPr>
      <w:r>
        <w:t>CVR assunta 1.5% (benchmark hotel indipendenti, non misurata: un errore di ±2× sposta il budget di ±2×)</w:t>
      </w:r>
    </w:p>
    <w:p>
      <w:pPr>
        <w:pStyle w:val="ListBullet"/>
      </w:pPr>
      <w:r>
        <w:t>costo di gestione assunto al 20% dello spend (fee reale nell'allegato agenzia): il confronto col tetto OTA usa il costo per prenotazione TUTTO COMPRESO</w:t>
      </w:r>
    </w:p>
    <w:p>
      <w:pPr>
        <w:pStyle w:val="ListBullet"/>
      </w:pPr>
      <w:r>
        <w:t>valore medio prenotazione dichiarato dalla struttura (1.537 €); CPA massimo ancorato alla commissione OTA media (18%)</w:t>
      </w:r>
    </w:p>
    <w:p>
      <w:pPr>
        <w:pStyle w:val="ListBullet"/>
      </w:pPr>
      <w:r>
        <w:t>domanda eleggibile stimata ×3 rispetto alle keyword censite (26 non-brand): broad match e varianti ampliano il reach oltre la lista</w:t>
      </w:r>
    </w:p>
    <w:p>
      <w:pPr>
        <w:pStyle w:val="ListBullet"/>
      </w:pPr>
      <w:r>
        <w:t>tetto dal revenue: occupazione assunta 65%, quota diretta assunta 30%, PPC al 4-8% del revenue diretto</w:t>
      </w:r>
    </w:p>
    <w:p>
      <w:pPr>
        <w:pStyle w:val="ListBullet"/>
      </w:pPr>
      <w:r>
        <w:t>booking engine non dichiarato: free booking links da subito; il bidding Hotel Ads dopo la verifica del partner di connettività</w:t>
      </w:r>
    </w:p>
    <w:p>
      <w:pPr>
        <w:pStyle w:val="ListBullet"/>
      </w:pPr>
      <w:r>
        <w:t>parità tariffaria non presidiata secondo il decision record della strategia: prerequisito del bidding sui metasearch</w:t>
      </w:r>
    </w:p>
    <w:p>
      <w:pPr>
        <w:pStyle w:val="ListBullet"/>
      </w:pPr>
      <w:r>
        <w:t>quadro Google/UE in movimento: rimedio DMA sui risultati hotel atteso entro settembre 2026 — ri-verificare l'assetto delle superfici Google dopo tale data</w:t>
      </w:r>
    </w:p>
    <w:p>
      <w:r>
        <w:t>Questo piano esegue mandati già decisi nel Piano Strategico e poggia su parametri che l'agenzia deve verificare, non inventare: modalità di misurazione B+, costanti di budget, stato del partner di connettività per Hotel Ads, calendario del rimedio DMA. Il box chiude il documento perché è qui che si dichiara cosa è assunto, cosa manca e quando ciascun numero verrà ricontrollato — nessuna cifra di questo piano è un consuntivo del cliente.</w:t>
      </w:r>
    </w:p>
    <w:p>
      <w:pPr>
        <w:spacing w:before="160" w:after="40"/>
      </w:pPr>
      <w:r>
        <w:rPr>
          <w:b/>
          <w:color w:val="2F5D62"/>
          <w:sz w:val="24"/>
        </w:rPr>
        <w:t>Obiettivi misurabili</w:t>
      </w:r>
    </w:p>
    <w:p>
      <w:pPr>
        <w:pStyle w:val="ListBullet"/>
      </w:pPr>
      <w:r>
        <w:t>Raccolta di tutti gli accessi mancanti (Ads, GA4, Search Console, Google Business Profile, CRM) entro l'avvio operativo, prima che sia acceso un solo euro non-brand</w:t>
      </w:r>
    </w:p>
    <w:p>
      <w:pPr>
        <w:pStyle w:val="ListBullet"/>
      </w:pPr>
      <w:r>
        <w:t>Prima ricalibrazione del budget stimato sulla base dei dati reali dei primi 30-60 giorni di spesa</w:t>
      </w:r>
    </w:p>
    <w:p>
      <w:pPr>
        <w:pStyle w:val="ListBullet"/>
      </w:pPr>
      <w:r>
        <w:t>Verifica formale dello stato del partner di connettività e della parità tariffaria prima di attivare il bidding su Google Hotel Ads</w:t>
      </w:r>
    </w:p>
    <w:p>
      <w:pPr>
        <w:pStyle w:val="ListBullet"/>
      </w:pPr>
      <w:r>
        <w:t>Revisione del capitolo Hotel Ads all'entrata in vigore del rimedio DMA sulle superfici hotel in UE, atteso a settembre 2026</w:t>
      </w:r>
    </w:p>
    <w:p>
      <w:pPr>
        <w:spacing w:before="160" w:after="40"/>
      </w:pPr>
      <w:r>
        <w:rPr>
          <w:b/>
          <w:color w:val="2F5D62"/>
          <w:sz w:val="24"/>
        </w:rPr>
        <w:t>Azioni</w:t>
      </w:r>
    </w:p>
    <w:p>
      <w:r>
        <w:t>Il decision record fissa alcuni valori come punto di partenza operativo: modalità di misurazione B+ con richiesta di preventivo come conversione primaria e recupero del valore via import offline dal CRM; una forcella di budget giornaliero complessivo da 55 € a 100 €, con il presidio brand always-on da 5 € a 15 €/giorno; una ripartizione per livello che va dal 15% al 20% sul brand, dal 25% al 35% sul non-brand di destinazione, dal 20% al 30% su Google Hotel Ads, dal 10% al 15% sul remarketing display e dal 10% al 20% su riserva stagionale/test; mesi di picco spesa a maggio, giugno e luglio, anticipati sulla finestra di prenotazione. Sono assunzioni di piano, etichettate come tali, non consuntivi: l'agenzia le assume come base di lancio e le sostituisce con i numeri reali del conto non appena disponibili. Perché questa sostituzione avvenga, servono input che oggi non sono nel brief e vanno raccolti dal cliente prima o nei primissimi giorni dell'attivazione: storico di spesa pubblicitaria reale (se esistono campagne precedenti, anche di altre agenzie), volumi di conversione storici sul sito o sul booking engine, accesso amministrativo all'account Google Ads (se già esistente) o conferma che va creato da zero, accesso a GA4 e Search Console per validare traffico e query, accesso al Google Business Profile per verificarne completezza prima che le campagne lo affianchino, e le credenziali del CRM per configurare l'import delle conversioni offline previsto dalla modalità B+. Senza questi accessi il piano resta eseguibile solo sulle stime di partenza, e ogni ottimizzazione successiva ai primi 30-60 giorni si basa comunque sui dati che l'account stesso produce, non su ipotesi esterne. Il secondo fronte di riverifica riguarda Hotel Ads: il decision record lo classifica come condizionato, con i free booking link attivabili da subito e il bidding a pagamento subordinato alla verifica del partner di connettività e della parità tariffaria, oggi non dichiarata. Questa verifica va fatta con il cliente prima di impegnare budget sul layer Hotel Ads, e la sua conclusione (positiva o negativa) determina se la quota dal 20% al 30% prevista in tabella si attiva in pieno o resta sospesa. Il terzo fronte è normativo: il rimedio ordinato dal Digital Markets Act sulle superfici hotel di Google, con attuazione attesa attorno a settembre 2026, ridisegna la presenza dell'hotel sulle superfici Google in UE. Il piano già anticipa questo scenario dando priorità alla search classica come ancora del mix pagato; alla data del rimedio, il capitolo Hotel Ads di questo piano va riletto e, se necessario, riequilibrato sulla base di come cambia in concreto la visibilità sulle superfici coinvolte.</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Assunzione</w:t>
            </w:r>
          </w:p>
        </w:tc>
        <w:tc>
          <w:tcPr>
            <w:tcW w:type="dxa" w:w="2880"/>
            <w:shd w:val="clear" w:color="auto" w:fill="2F5D62"/>
          </w:tcPr>
          <w:p>
            <w:r>
              <w:rPr>
                <w:b/>
                <w:color w:val="FFFFFF"/>
                <w:sz w:val="19"/>
              </w:rPr>
              <w:t>Stato</w:t>
            </w:r>
          </w:p>
        </w:tc>
        <w:tc>
          <w:tcPr>
            <w:tcW w:type="dxa" w:w="2880"/>
            <w:shd w:val="clear" w:color="auto" w:fill="2F5D62"/>
          </w:tcPr>
          <w:p>
            <w:r>
              <w:rPr>
                <w:b/>
                <w:color w:val="FFFFFF"/>
                <w:sz w:val="19"/>
              </w:rPr>
              <w:t>Trigger di riverifica</w:t>
            </w:r>
          </w:p>
        </w:tc>
      </w:tr>
      <w:tr>
        <w:tc>
          <w:tcPr>
            <w:tcW w:type="dxa" w:w="2880"/>
          </w:tcPr>
          <w:p>
            <w:r>
              <w:rPr>
                <w:sz w:val="19"/>
              </w:rPr>
              <w:t>Budget giornaliero 55 €–100 €, brand 5 €–15 €/giorno</w:t>
            </w:r>
          </w:p>
        </w:tc>
        <w:tc>
          <w:tcPr>
            <w:tcW w:type="dxa" w:w="2880"/>
          </w:tcPr>
          <w:p>
            <w:r>
              <w:rPr>
                <w:sz w:val="19"/>
              </w:rPr>
              <w:t>stima di piano, da validare in agenzia</w:t>
            </w:r>
          </w:p>
        </w:tc>
        <w:tc>
          <w:tcPr>
            <w:tcW w:type="dxa" w:w="2880"/>
          </w:tcPr>
          <w:p>
            <w:r>
              <w:rPr>
                <w:sz w:val="19"/>
              </w:rPr>
              <w:t>primi 30-60 giorni di spesa reale sull'account</w:t>
            </w:r>
          </w:p>
        </w:tc>
      </w:tr>
      <w:tr>
        <w:tc>
          <w:tcPr>
            <w:tcW w:type="dxa" w:w="2880"/>
            <w:shd w:val="clear" w:color="auto" w:fill="EEF2F1"/>
          </w:tcPr>
          <w:p>
            <w:r>
              <w:rPr>
                <w:sz w:val="19"/>
              </w:rPr>
              <w:t>Ripartizione per livello (brand 15-20%, non-brand 25-35%, Hotel Ads 20-30%, display 10-15%, riserva 10-20%)</w:t>
            </w:r>
          </w:p>
        </w:tc>
        <w:tc>
          <w:tcPr>
            <w:tcW w:type="dxa" w:w="2880"/>
            <w:shd w:val="clear" w:color="auto" w:fill="EEF2F1"/>
          </w:tcPr>
          <w:p>
            <w:r>
              <w:rPr>
                <w:sz w:val="19"/>
              </w:rPr>
              <w:t>stima di piano</w:t>
            </w:r>
          </w:p>
        </w:tc>
        <w:tc>
          <w:tcPr>
            <w:tcW w:type="dxa" w:w="2880"/>
            <w:shd w:val="clear" w:color="auto" w:fill="EEF2F1"/>
          </w:tcPr>
          <w:p>
            <w:r>
              <w:rPr>
                <w:sz w:val="19"/>
              </w:rPr>
              <w:t>dati di performance dei primi 30-60 giorni per livello</w:t>
            </w:r>
          </w:p>
        </w:tc>
      </w:tr>
      <w:tr>
        <w:tc>
          <w:tcPr>
            <w:tcW w:type="dxa" w:w="2880"/>
          </w:tcPr>
          <w:p>
            <w:r>
              <w:rPr>
                <w:sz w:val="19"/>
              </w:rPr>
              <w:t>Modalità di misurazione B+ (CRM con import offline)</w:t>
            </w:r>
          </w:p>
        </w:tc>
        <w:tc>
          <w:tcPr>
            <w:tcW w:type="dxa" w:w="2880"/>
          </w:tcPr>
          <w:p>
            <w:r>
              <w:rPr>
                <w:sz w:val="19"/>
              </w:rPr>
              <w:t>assunta dal decision record, booking engine non dichiarato</w:t>
            </w:r>
          </w:p>
        </w:tc>
        <w:tc>
          <w:tcPr>
            <w:tcW w:type="dxa" w:w="2880"/>
          </w:tcPr>
          <w:p>
            <w:r>
              <w:rPr>
                <w:sz w:val="19"/>
              </w:rPr>
              <w:t>conferma dell'accesso CRM e del booking engine da parte del cliente</w:t>
            </w:r>
          </w:p>
        </w:tc>
      </w:tr>
      <w:tr>
        <w:tc>
          <w:tcPr>
            <w:tcW w:type="dxa" w:w="2880"/>
            <w:shd w:val="clear" w:color="auto" w:fill="EEF2F1"/>
          </w:tcPr>
          <w:p>
            <w:r>
              <w:rPr>
                <w:sz w:val="19"/>
              </w:rPr>
              <w:t>Bidding Hotel Ads a pagamento</w:t>
            </w:r>
          </w:p>
        </w:tc>
        <w:tc>
          <w:tcPr>
            <w:tcW w:type="dxa" w:w="2880"/>
            <w:shd w:val="clear" w:color="auto" w:fill="EEF2F1"/>
          </w:tcPr>
          <w:p>
            <w:r>
              <w:rPr>
                <w:sz w:val="19"/>
              </w:rPr>
              <w:t>condizionato, non attivabile ora</w:t>
            </w:r>
          </w:p>
        </w:tc>
        <w:tc>
          <w:tcPr>
            <w:tcW w:type="dxa" w:w="2880"/>
            <w:shd w:val="clear" w:color="auto" w:fill="EEF2F1"/>
          </w:tcPr>
          <w:p>
            <w:r>
              <w:rPr>
                <w:sz w:val="19"/>
              </w:rPr>
              <w:t>verifica partner di connettività e parità tariffaria</w:t>
            </w:r>
          </w:p>
        </w:tc>
      </w:tr>
      <w:tr>
        <w:tc>
          <w:tcPr>
            <w:tcW w:type="dxa" w:w="2880"/>
          </w:tcPr>
          <w:p>
            <w:r>
              <w:rPr>
                <w:sz w:val="19"/>
              </w:rPr>
              <w:t>Presenza hotel su superfici Google in UE</w:t>
            </w:r>
          </w:p>
        </w:tc>
        <w:tc>
          <w:tcPr>
            <w:tcW w:type="dxa" w:w="2880"/>
          </w:tcPr>
          <w:p>
            <w:r>
              <w:rPr>
                <w:sz w:val="19"/>
              </w:rPr>
              <w:t>in trasformazione</w:t>
            </w:r>
          </w:p>
        </w:tc>
        <w:tc>
          <w:tcPr>
            <w:tcW w:type="dxa" w:w="2880"/>
          </w:tcPr>
          <w:p>
            <w:r>
              <w:rPr>
                <w:sz w:val="19"/>
              </w:rPr>
              <w:t>rimedio DMA, attuazione attesa a settembre 2026</w:t>
            </w:r>
          </w:p>
        </w:tc>
      </w:tr>
    </w:tbl>
    <w:p>
      <w:pPr>
        <w:spacing w:after="160"/>
      </w:pPr>
    </w:p>
    <w:p>
      <w:pPr>
        <w:spacing w:before="160" w:after="40"/>
      </w:pPr>
      <w:r>
        <w:rPr>
          <w:b/>
          <w:color w:val="2F5D62"/>
          <w:sz w:val="24"/>
        </w:rPr>
        <w:t>Note esecutive</w:t>
      </w:r>
    </w:p>
    <w:p>
      <w:r>
        <w:t>Ogni cifra in € o in punti percentuale di questo piano proviene dal decision record e resta un'assunzione fino a prova contraria del cliente: l'agenzia non la tratta come budget confermato né come target contrattuale. La sequenza corretta è raccogliere gli accessi, misurare i primi 30-60 giorni, poi ricalibrare — non il contrario. Il capitolo Hotel Ads resta esplicitamente in sospeso fino alla doppia verifica (partner di connettività e parità tariffaria) e va comunque riletto alla luce del rimedio DMA quando entrerà in vigore, indipendentemente dall'esito della prima verifica.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