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OPERATIVO PPC — GOOGLE ADS</w:t>
      </w:r>
    </w:p>
    <w:p>
      <w:pPr>
        <w:spacing w:before="480"/>
        <w:jc w:val="center"/>
      </w:pPr>
      <w:r>
        <w:rPr>
          <w:b/>
          <w:color w:val="1A1A2E"/>
          <w:sz w:val="60"/>
        </w:rPr>
        <w:t>HOTEL BAIA IMPERIALE</w:t>
      </w:r>
    </w:p>
    <w:p>
      <w:pPr>
        <w:jc w:val="center"/>
      </w:pPr>
      <w:r>
        <w:rPr>
          <w:color w:val="6B7280"/>
          <w:sz w:val="26"/>
        </w:rPr>
        <w:t>Rimini  ·  4 stelle</w:t>
      </w:r>
    </w:p>
    <w:p>
      <w:pPr>
        <w:spacing w:before="360"/>
        <w:pBdr>
          <w:bottom w:val="single" w:sz="12" w:space="6" w:color="2F5D62"/>
        </w:pBdr>
      </w:pPr>
    </w:p>
    <w:p>
      <w:pPr>
        <w:spacing w:before="160"/>
        <w:jc w:val="center"/>
      </w:pPr>
      <w:r>
        <w:rPr>
          <w:color w:val="6B7280"/>
          <w:sz w:val="18"/>
        </w:rPr>
        <w:t>Documento operativo · 21/09/2026 17:13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Piano esecutivo del canale a pagamento (Google Ads + Google Hotel Ads): discende dal Piano Strategico e ne esegue le decisioni di canale. Per ogni area: sintesi strategica, obiettivi misurabili, azioni e KPI.</w:t>
      </w:r>
    </w:p>
    <w:p>
      <w:pPr>
        <w:pStyle w:val="ListNumber"/>
      </w:pPr>
      <w:r>
        <w:t>01 — Quadro del piano e obiettivi</w:t>
      </w:r>
    </w:p>
    <w:p>
      <w:pPr>
        <w:pStyle w:val="ListNumber"/>
      </w:pPr>
      <w:r>
        <w:t>02 — Misurazione e prerequisiti (fase zero)</w:t>
      </w:r>
    </w:p>
    <w:p>
      <w:pPr>
        <w:pStyle w:val="ListNumber"/>
      </w:pPr>
      <w:r>
        <w:t>03 — Architettura dell'account</w:t>
      </w:r>
    </w:p>
    <w:p>
      <w:pPr>
        <w:pStyle w:val="ListNumber"/>
      </w:pPr>
      <w:r>
        <w:t>04 — Keyword e negative</w:t>
      </w:r>
    </w:p>
    <w:p>
      <w:pPr>
        <w:pStyle w:val="ListNumber"/>
      </w:pPr>
      <w:r>
        <w:t>05 — Mercati e geo-targeting</w:t>
      </w:r>
    </w:p>
    <w:p>
      <w:pPr>
        <w:pStyle w:val="ListNumber"/>
      </w:pPr>
      <w:r>
        <w:t>06 — Calendario e pacing</w:t>
      </w:r>
    </w:p>
    <w:p>
      <w:pPr>
        <w:pStyle w:val="ListNumber"/>
      </w:pPr>
      <w:r>
        <w:t>07 — Budget</w:t>
      </w:r>
    </w:p>
    <w:p>
      <w:pPr>
        <w:pStyle w:val="ListNumber"/>
      </w:pPr>
      <w:r>
        <w:t>08 — Assunzioni e re-verifica</w:t>
      </w:r>
    </w:p>
    <w:p>
      <w:r>
        <w:br w:type="page"/>
      </w:r>
    </w:p>
    <w:p>
      <w:pPr>
        <w:spacing w:after="0"/>
      </w:pPr>
      <w:r>
        <w:rPr>
          <w:b/>
          <w:color w:val="2F5D62"/>
          <w:sz w:val="18"/>
        </w:rPr>
        <w:t>SEZIONE 01</w:t>
      </w:r>
    </w:p>
    <w:p>
      <w:pPr>
        <w:spacing w:after="200"/>
        <w:pBdr>
          <w:bottom w:val="single" w:sz="18" w:space="6" w:color="2F5D62"/>
        </w:pBdr>
      </w:pPr>
      <w:r>
        <w:rPr>
          <w:b/>
          <w:color w:val="1A1A2E"/>
          <w:sz w:val="40"/>
        </w:rPr>
        <w:t>Quadro del piano e obiettivi</w:t>
      </w:r>
    </w:p>
    <w:p>
      <w:pPr>
        <w:spacing w:before="160" w:after="40"/>
      </w:pPr>
      <w:r>
        <w:rPr>
          <w:b/>
          <w:color w:val="2F5D62"/>
          <w:sz w:val="24"/>
        </w:rPr>
        <w:t>Quadro del piano (decision record PPC — verità del piano)</w:t>
      </w:r>
    </w:p>
    <w:p>
      <w:r>
        <w:t>Modalità di misurazione: lead generation (richieste di preventivo). Conversione primaria: richiesta di preventivo (form/telefono/email).</w:t>
      </w:r>
    </w:p>
    <w:p>
      <w:r>
        <w:t>Il Piano Strategico assegna alla leva a pagamento un mandato preciso: presidiare il nome e recuperare la domanda generalista oggi non intercettata via search advertising, e attivare Google Hotel Ads in forma condizionata, subordinata alla verifica del partner di connettività per la parità tariffaria. Questo piano esegue quel mandato: attiva subito la protezione del brand e la campagna non-brand, mette in coda il bidding sui metasearch al superamento del prerequisito tecnico, e imposta fin da ora l'infrastruttura di remarketing e la misurazione che rendono ogni euro leggibile. La modalità di misurazione è B — lead generation: la conversione primaria è la richiesta di preventivo (form, telefono, email), non la prenotazione confermata a valore in pagina di conferma. Questo cambia il significato di ogni numero che seguirà: si ottimizza sul costo per richiesta, non sul ROAS pieno, finché booking engine e CRM non saranno dichiarati e collegati.</w:t>
      </w:r>
    </w:p>
    <w:p>
      <w:pPr>
        <w:spacing w:before="160" w:after="40"/>
      </w:pPr>
      <w:r>
        <w:rPr>
          <w:b/>
          <w:color w:val="2F5D62"/>
          <w:sz w:val="24"/>
        </w:rPr>
        <w:t>Obiettivi misurabili</w:t>
      </w:r>
    </w:p>
    <w:p>
      <w:pPr>
        <w:pStyle w:val="ListBullet"/>
      </w:pPr>
      <w:r>
        <w:t>Brand protection: mantenere una quota impression sul nome coerente con gli standard di categoria (riferimento di settore ≥90%, da validare sui dati account reali una volta attiva la misurazione).</w:t>
      </w:r>
    </w:p>
    <w:p>
      <w:pPr>
        <w:pStyle w:val="ListBullet"/>
      </w:pPr>
      <w:r>
        <w:t>Search non-brand/destinazione: costruire volume di richieste di preventivo qualificate sul cluster di domanda in gap (§5bis), con un costo per richiesta che resti sotto la commissione media pagata alle OTA — l'ancoraggio corretto in modalità lead generation, non un ROAS.</w:t>
      </w:r>
    </w:p>
    <w:p>
      <w:pPr>
        <w:pStyle w:val="ListBullet"/>
      </w:pPr>
      <w:r>
        <w:t>Google Hotel Ads: attivare da subito i free booking links (nessun costo, nessun prerequisito), rinviare il bidding a pagamento al completamento della verifica di parità tariffaria via connettività certificata.</w:t>
      </w:r>
    </w:p>
    <w:p>
      <w:pPr>
        <w:pStyle w:val="ListBullet"/>
      </w:pPr>
      <w:r>
        <w:t>Display remarketing: presidiare gli abbandoni del funnel di richiesta e i visitatori di pagine camera/offerta, con un costo per richiesta atteso più alto del non-brand ma comunque sotto la soglia OTA.</w:t>
      </w:r>
    </w:p>
    <w:p>
      <w:pPr>
        <w:pStyle w:val="ListBullet"/>
      </w:pPr>
      <w:r>
        <w:t>Riserva stagionale/test (PMax pilota): validare in forma gated, a budget contenuto, senza sostituire i layer strutturali.</w:t>
      </w:r>
    </w:p>
    <w:p>
      <w:r>
        <w:t>L'ordine di attivazione segue la sequenza già validata per il settore: prima la protezione del nome, che costa poco e recupera prenotazioni oggi intermediate; poi il collegamento a Hotel Ads sui link gratuiti, sempre attivo e senza condizioni; poi l'infrastruttura di remarketing, che deve essere pronta prima di accendere volumi non-brand consistenti; infine il layer non-brand e la riserva di test. Il bidding a pagamento su Hotel Ads resta condizionato: entra in gioco solo dopo che il partner di connettività abbia confermato la parità tariffaria, perché senza quel prerequisito ogni euro speso sui metasearch rischia di spingere clic verso un prezzo non allineato. Nel frattempo il budget dedicato ai metasearch nella ripartizione di sezione 10 resta presidiato dai soli free booking links, a costo zero. Ogni obiettivo è definito per singolo layer e non va fuso in un target unico: brand, non-brand, Hotel Ads e remarketing rispondono a logiche di intento e di costo diverse, e mescolarli in un ROAS o CPA medio nasconderebbe più di quanto riveli.</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Layer</w:t>
            </w:r>
          </w:p>
        </w:tc>
        <w:tc>
          <w:tcPr>
            <w:tcW w:type="dxa" w:w="2880"/>
            <w:shd w:val="clear" w:color="auto" w:fill="2F5D62"/>
          </w:tcPr>
          <w:p>
            <w:r>
              <w:rPr>
                <w:b/>
                <w:color w:val="FFFFFF"/>
                <w:sz w:val="19"/>
              </w:rPr>
              <w:t>KPI di riferimento</w:t>
            </w:r>
          </w:p>
        </w:tc>
        <w:tc>
          <w:tcPr>
            <w:tcW w:type="dxa" w:w="2880"/>
            <w:shd w:val="clear" w:color="auto" w:fill="2F5D62"/>
          </w:tcPr>
          <w:p>
            <w:r>
              <w:rPr>
                <w:b/>
                <w:color w:val="FFFFFF"/>
                <w:sz w:val="19"/>
              </w:rPr>
              <w:t>Natura del dato</w:t>
            </w:r>
          </w:p>
        </w:tc>
      </w:tr>
      <w:tr>
        <w:tc>
          <w:tcPr>
            <w:tcW w:type="dxa" w:w="2880"/>
          </w:tcPr>
          <w:p>
            <w:r>
              <w:rPr>
                <w:sz w:val="19"/>
              </w:rPr>
              <w:t>Brand protection</w:t>
            </w:r>
          </w:p>
        </w:tc>
        <w:tc>
          <w:tcPr>
            <w:tcW w:type="dxa" w:w="2880"/>
          </w:tcPr>
          <w:p>
            <w:r>
              <w:rPr>
                <w:sz w:val="19"/>
              </w:rPr>
              <w:t>Quota impression ≥90% sul nome</w:t>
            </w:r>
          </w:p>
        </w:tc>
        <w:tc>
          <w:tcPr>
            <w:tcW w:type="dxa" w:w="2880"/>
          </w:tcPr>
          <w:p>
            <w:r>
              <w:rPr>
                <w:sz w:val="19"/>
              </w:rPr>
              <w:t>Benchmark di settore, da validare sui dati account</w:t>
            </w:r>
          </w:p>
        </w:tc>
      </w:tr>
      <w:tr>
        <w:tc>
          <w:tcPr>
            <w:tcW w:type="dxa" w:w="2880"/>
            <w:shd w:val="clear" w:color="auto" w:fill="EEF2F1"/>
          </w:tcPr>
          <w:p>
            <w:r>
              <w:rPr>
                <w:sz w:val="19"/>
              </w:rPr>
              <w:t>Search non-brand</w:t>
            </w:r>
          </w:p>
        </w:tc>
        <w:tc>
          <w:tcPr>
            <w:tcW w:type="dxa" w:w="2880"/>
            <w:shd w:val="clear" w:color="auto" w:fill="EEF2F1"/>
          </w:tcPr>
          <w:p>
            <w:r>
              <w:rPr>
                <w:sz w:val="19"/>
              </w:rPr>
              <w:t>Costo per richiesta di preventivo sotto la commissione OTA (15-25%)</w:t>
            </w:r>
          </w:p>
        </w:tc>
        <w:tc>
          <w:tcPr>
            <w:tcW w:type="dxa" w:w="2880"/>
            <w:shd w:val="clear" w:color="auto" w:fill="EEF2F1"/>
          </w:tcPr>
          <w:p>
            <w:r>
              <w:rPr>
                <w:sz w:val="19"/>
              </w:rPr>
              <w:t>Ancoraggio di modalità B, da leggere sui dati reali</w:t>
            </w:r>
          </w:p>
        </w:tc>
      </w:tr>
      <w:tr>
        <w:tc>
          <w:tcPr>
            <w:tcW w:type="dxa" w:w="2880"/>
          </w:tcPr>
          <w:p>
            <w:r>
              <w:rPr>
                <w:sz w:val="19"/>
              </w:rPr>
              <w:t>Google Hotel Ads (free links)</w:t>
            </w:r>
          </w:p>
        </w:tc>
        <w:tc>
          <w:tcPr>
            <w:tcW w:type="dxa" w:w="2880"/>
          </w:tcPr>
          <w:p>
            <w:r>
              <w:rPr>
                <w:sz w:val="19"/>
              </w:rPr>
              <w:t>Presenza e clic sui link gratuiti</w:t>
            </w:r>
          </w:p>
        </w:tc>
        <w:tc>
          <w:tcPr>
            <w:tcW w:type="dxa" w:w="2880"/>
          </w:tcPr>
          <w:p>
            <w:r>
              <w:rPr>
                <w:sz w:val="19"/>
              </w:rPr>
              <w:t>Baseline da costruire, nessun costo</w:t>
            </w:r>
          </w:p>
        </w:tc>
      </w:tr>
      <w:tr>
        <w:tc>
          <w:tcPr>
            <w:tcW w:type="dxa" w:w="2880"/>
            <w:shd w:val="clear" w:color="auto" w:fill="EEF2F1"/>
          </w:tcPr>
          <w:p>
            <w:r>
              <w:rPr>
                <w:sz w:val="19"/>
              </w:rPr>
              <w:t>Google Hotel Ads (bidding)</w:t>
            </w:r>
          </w:p>
        </w:tc>
        <w:tc>
          <w:tcPr>
            <w:tcW w:type="dxa" w:w="2880"/>
            <w:shd w:val="clear" w:color="auto" w:fill="EEF2F1"/>
          </w:tcPr>
          <w:p>
            <w:r>
              <w:rPr>
                <w:sz w:val="19"/>
              </w:rPr>
              <w:t>Condizionato al prerequisito di parità tariffaria</w:t>
            </w:r>
          </w:p>
        </w:tc>
        <w:tc>
          <w:tcPr>
            <w:tcW w:type="dxa" w:w="2880"/>
            <w:shd w:val="clear" w:color="auto" w:fill="EEF2F1"/>
          </w:tcPr>
          <w:p>
            <w:r>
              <w:rPr>
                <w:sz w:val="19"/>
              </w:rPr>
              <w:t>Non attivabile finché il prerequisito non è verificato</w:t>
            </w:r>
          </w:p>
        </w:tc>
      </w:tr>
      <w:tr>
        <w:tc>
          <w:tcPr>
            <w:tcW w:type="dxa" w:w="2880"/>
          </w:tcPr>
          <w:p>
            <w:r>
              <w:rPr>
                <w:sz w:val="19"/>
              </w:rPr>
              <w:t>Display remarketing</w:t>
            </w:r>
          </w:p>
        </w:tc>
        <w:tc>
          <w:tcPr>
            <w:tcW w:type="dxa" w:w="2880"/>
          </w:tcPr>
          <w:p>
            <w:r>
              <w:rPr>
                <w:sz w:val="19"/>
              </w:rPr>
              <w:t>Costo per richiesta su pubblico di funnel/pagina offerta</w:t>
            </w:r>
          </w:p>
        </w:tc>
        <w:tc>
          <w:tcPr>
            <w:tcW w:type="dxa" w:w="2880"/>
          </w:tcPr>
          <w:p>
            <w:r>
              <w:rPr>
                <w:sz w:val="19"/>
              </w:rPr>
              <w:t>Atteso più alto del non-brand, da validare</w:t>
            </w:r>
          </w:p>
        </w:tc>
      </w:tr>
    </w:tbl>
    <w:p>
      <w:pPr>
        <w:spacing w:after="160"/>
      </w:pPr>
    </w:p>
    <w:p>
      <w:pPr>
        <w:spacing w:before="160" w:after="40"/>
      </w:pPr>
      <w:r>
        <w:rPr>
          <w:b/>
          <w:color w:val="2F5D62"/>
          <w:sz w:val="24"/>
        </w:rPr>
        <w:t>Note esecutive</w:t>
      </w:r>
    </w:p>
    <w:p>
      <w:pPr>
        <w:pStyle w:val="ListBullet"/>
      </w:pPr>
      <w:r>
        <w:t>Tutti i target sopra sono riferimenti di settore da validare con i dati reali dell'account: non esistono ancora storici di direct ratio o CAC per questa struttura.</w:t>
      </w:r>
    </w:p>
    <w:p>
      <w:pPr>
        <w:pStyle w:val="ListBullet"/>
      </w:pPr>
      <w:r>
        <w:t>La conversione primaria resta la richiesta di preventivo finché booking engine e CRM non sono dichiarati; il passaggio a un ROAS a valore pieno richiede quel collegamento.</w:t>
      </w:r>
    </w:p>
    <w:p>
      <w:pPr>
        <w:pStyle w:val="ListBullet"/>
      </w:pPr>
      <w:r>
        <w:t>Il bidding su Hotel Ads non entra nel piano di spesa attivo fino alla conferma di parità tariffaria: la sezione budget (10) tratta questo layer come condizionato, non come acceso di default.</w:t>
      </w:r>
    </w:p>
    <w:p>
      <w:r>
        <w:br w:type="page"/>
      </w:r>
    </w:p>
    <w:p>
      <w:pPr>
        <w:spacing w:after="0"/>
      </w:pPr>
      <w:r>
        <w:rPr>
          <w:b/>
          <w:color w:val="2F5D62"/>
          <w:sz w:val="18"/>
        </w:rPr>
        <w:t>SEZIONE 02</w:t>
      </w:r>
    </w:p>
    <w:p>
      <w:pPr>
        <w:spacing w:after="200"/>
        <w:pBdr>
          <w:bottom w:val="single" w:sz="18" w:space="6" w:color="2F5D62"/>
        </w:pBdr>
      </w:pPr>
      <w:r>
        <w:rPr>
          <w:b/>
          <w:color w:val="1A1A2E"/>
          <w:sz w:val="40"/>
        </w:rPr>
        <w:t>Misurazione e prerequisiti (fase zero)</w:t>
      </w:r>
    </w:p>
    <w:p>
      <w:pPr>
        <w:spacing w:before="160" w:after="40"/>
      </w:pPr>
      <w:r>
        <w:rPr>
          <w:b/>
          <w:color w:val="2F5D62"/>
          <w:sz w:val="24"/>
        </w:rPr>
        <w:t>Impianto di misurazione (fase zero)</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Elemento</w:t>
            </w:r>
          </w:p>
        </w:tc>
        <w:tc>
          <w:tcPr>
            <w:tcW w:type="dxa" w:w="4320"/>
            <w:shd w:val="clear" w:color="auto" w:fill="2F5D62"/>
          </w:tcPr>
          <w:p>
            <w:r>
              <w:rPr>
                <w:b/>
                <w:color w:val="FFFFFF"/>
                <w:sz w:val="19"/>
              </w:rPr>
              <w:t>Stato / prescrizione</w:t>
            </w:r>
          </w:p>
        </w:tc>
      </w:tr>
      <w:tr>
        <w:tc>
          <w:tcPr>
            <w:tcW w:type="dxa" w:w="4320"/>
          </w:tcPr>
          <w:p>
            <w:r>
              <w:rPr>
                <w:sz w:val="19"/>
              </w:rPr>
              <w:t>Modalità</w:t>
            </w:r>
          </w:p>
        </w:tc>
        <w:tc>
          <w:tcPr>
            <w:tcW w:type="dxa" w:w="4320"/>
          </w:tcPr>
          <w:p>
            <w:r>
              <w:rPr>
                <w:sz w:val="19"/>
              </w:rPr>
              <w:t>B — lead generation</w:t>
            </w:r>
          </w:p>
        </w:tc>
      </w:tr>
      <w:tr>
        <w:tc>
          <w:tcPr>
            <w:tcW w:type="dxa" w:w="4320"/>
            <w:shd w:val="clear" w:color="auto" w:fill="EEF2F1"/>
          </w:tcPr>
          <w:p>
            <w:r>
              <w:rPr>
                <w:sz w:val="19"/>
              </w:rPr>
              <w:t>Conversione primaria</w:t>
            </w:r>
          </w:p>
        </w:tc>
        <w:tc>
          <w:tcPr>
            <w:tcW w:type="dxa" w:w="4320"/>
            <w:shd w:val="clear" w:color="auto" w:fill="EEF2F1"/>
          </w:tcPr>
          <w:p>
            <w:r>
              <w:rPr>
                <w:sz w:val="19"/>
              </w:rPr>
              <w:t>richiesta di preventivo (form/telefono/email)</w:t>
            </w:r>
          </w:p>
        </w:tc>
      </w:tr>
      <w:tr>
        <w:tc>
          <w:tcPr>
            <w:tcW w:type="dxa" w:w="4320"/>
          </w:tcPr>
          <w:p>
            <w:r>
              <w:rPr>
                <w:sz w:val="19"/>
              </w:rPr>
              <w:t>Consent Mode v2</w:t>
            </w:r>
          </w:p>
        </w:tc>
        <w:tc>
          <w:tcPr>
            <w:tcW w:type="dxa" w:w="4320"/>
          </w:tcPr>
          <w:p>
            <w:r>
              <w:rPr>
                <w:sz w:val="19"/>
              </w:rPr>
              <w:t>prerequisito: dal 15/06/2026 è l'unica fonte di consenso letta da Google Ads</w:t>
            </w:r>
          </w:p>
        </w:tc>
      </w:tr>
      <w:tr>
        <w:tc>
          <w:tcPr>
            <w:tcW w:type="dxa" w:w="4320"/>
            <w:shd w:val="clear" w:color="auto" w:fill="EEF2F1"/>
          </w:tcPr>
          <w:p>
            <w:r>
              <w:rPr>
                <w:sz w:val="19"/>
              </w:rPr>
              <w:t>Booking engine</w:t>
            </w:r>
          </w:p>
        </w:tc>
        <w:tc>
          <w:tcPr>
            <w:tcW w:type="dxa" w:w="4320"/>
            <w:shd w:val="clear" w:color="auto" w:fill="EEF2F1"/>
          </w:tcPr>
          <w:p>
            <w:r>
              <w:rPr>
                <w:sz w:val="19"/>
              </w:rPr>
              <w:t>non dichiarato (da rilevare)</w:t>
            </w:r>
          </w:p>
        </w:tc>
      </w:tr>
      <w:tr>
        <w:tc>
          <w:tcPr>
            <w:tcW w:type="dxa" w:w="4320"/>
          </w:tcPr>
          <w:p>
            <w:r>
              <w:rPr>
                <w:sz w:val="19"/>
              </w:rPr>
              <w:t>CRM collegato</w:t>
            </w:r>
          </w:p>
        </w:tc>
        <w:tc>
          <w:tcPr>
            <w:tcW w:type="dxa" w:w="4320"/>
          </w:tcPr>
          <w:p>
            <w:r>
              <w:rPr>
                <w:sz w:val="19"/>
              </w:rPr>
              <w:t>non dichiarato</w:t>
            </w:r>
          </w:p>
        </w:tc>
      </w:tr>
    </w:tbl>
    <w:p>
      <w:pPr>
        <w:spacing w:after="160"/>
      </w:pPr>
    </w:p>
    <w:p>
      <w:r>
        <w:t>Prima che un euro venga spostato sul non-brand, l'account deve poter contare le richieste di preventivo che genera: oggi la misurazione è in modalità B, lead generation, senza booking engine né CRM dichiarati. Questa è la fase zero — il cantiere che precede l'accensione di ogni campagna, non un capitolo tecnico a parte. Finché non è chiuso, ogni euro speso su ricerca non-brand o su Hotel Ads produce clic senza un dato affidabile per governarli.</w:t>
      </w:r>
    </w:p>
    <w:p>
      <w:pPr>
        <w:spacing w:before="160" w:after="40"/>
      </w:pPr>
      <w:r>
        <w:rPr>
          <w:b/>
          <w:color w:val="2F5D62"/>
          <w:sz w:val="24"/>
        </w:rPr>
        <w:t>Obiettivi misurabili</w:t>
      </w:r>
    </w:p>
    <w:p>
      <w:pPr>
        <w:pStyle w:val="ListBullet"/>
      </w:pPr>
      <w:r>
        <w:t>Consent Mode v2 attivo e verificato prima dell'accensione di qualunque campagna non-brand: è l'unico segnale di consenso che Google Ads legge dal giugno 2026, un banner mal configurato azzera la misurazione senza dare alcun avviso visibile</w:t>
      </w:r>
    </w:p>
    <w:p>
      <w:pPr>
        <w:pStyle w:val="ListBullet"/>
      </w:pPr>
      <w:r>
        <w:t>Conversione primaria di richiesta di preventivo (form, telefono, email) cablata e verificata su ciascun canale di contatto disponibile sul sito, non solo sul form principale</w:t>
      </w:r>
    </w:p>
    <w:p>
      <w:pPr>
        <w:pStyle w:val="ListBullet"/>
      </w:pPr>
      <w:r>
        <w:t>GA4 allineato alla stessa definizione di conversione usata in Google Ads, per evitare due contabilità diverse tra piattaforma advertising e analytics</w:t>
      </w:r>
    </w:p>
    <w:p>
      <w:pPr>
        <w:pStyle w:val="ListBullet"/>
      </w:pPr>
      <w:r>
        <w:t>Enhanced conversions attive sul form per recuperare match-rate quando il consenso è dato ma il cookie di terze parti non è disponibile</w:t>
      </w:r>
    </w:p>
    <w:p>
      <w:pPr>
        <w:pStyle w:val="ListBullet"/>
      </w:pPr>
      <w:r>
        <w:t>Percorso verso la modalità B+ tracciato con un responsabile assegnato: import delle conversioni offline da CRM per far arrivare a Google Ads l'esito reale del preventivo, non solo l'invio del form</w:t>
      </w:r>
    </w:p>
    <w:p>
      <w:pPr>
        <w:spacing w:before="160" w:after="40"/>
      </w:pPr>
      <w:r>
        <w:rPr>
          <w:b/>
          <w:color w:val="2F5D62"/>
          <w:sz w:val="24"/>
        </w:rPr>
        <w:t>Azioni</w:t>
      </w:r>
    </w:p>
    <w:p>
      <w:r>
        <w:t>Il primo intervento riguarda il banner di consenso: va verificato che invii correttamente i segnali di Consent Mode v2, con un test dedicato sia in presenza che in assenza di consenso, perché è l'unico modo in cui Google Ads oggi riceve informazione dagli utenti europei. Subito dopo si cablano gli eventi di conversione sulla richiesta di preventivo — invio form, click-to-call, click-to-email — distinguendoli come eventi separati ma facendo confluire tutti nella stessa conversione primaria in modo che il conteggio non si disperda. L'allineamento con GA4 chiude il quadro di raccolta: le due piattaforme devono descrivere lo stesso evento con la stessa soglia di successo, altrimenti i numeri riportati al cliente e quelli letti dall'asta pubblicitaria raccontano storie diverse. Le enhanced conversions si attivano sul modulo di richiesta, così il sistema può abbinare più conversioni anche quando il tracciamento lato browser perde il contatto. Il passo successivo, che resta un'azione di piano e non un dettaglio tecnico rimandabile, è la connessione tra il sistema di gestione dei preventivi (o un CRM, se esiste o verrà introdotto) e Google Ads per l'import delle conversioni offline: solo così la modalità B diventa B+, e solo con B+ o con la modalità A si può passare a strategie di offerta basate sul valore. In parallelo, se e quando verrà dichiarato un booking engine, la sua strumentazione con tracciamento del valore reale della prenotazione è il prerequisito per muovere la misurazione verso la modalità A, quella più adatta a un motore diretto. La parità tariffaria tra il sito e le agenzie online resta infine un prerequisito tecnico specifico dei layer basati su prezzo: senza una verifica del partner di connettività certificato, il bidding su Google Hotel Ads non si accende, restano attivi solo i link di prenotazione gratuiti.</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Prerequisito</w:t>
            </w:r>
          </w:p>
        </w:tc>
        <w:tc>
          <w:tcPr>
            <w:tcW w:type="dxa" w:w="2880"/>
            <w:shd w:val="clear" w:color="auto" w:fill="2F5D62"/>
          </w:tcPr>
          <w:p>
            <w:r>
              <w:rPr>
                <w:b/>
                <w:color w:val="FFFFFF"/>
                <w:sz w:val="19"/>
              </w:rPr>
              <w:t>Stato di partenza</w:t>
            </w:r>
          </w:p>
        </w:tc>
        <w:tc>
          <w:tcPr>
            <w:tcW w:type="dxa" w:w="2880"/>
            <w:shd w:val="clear" w:color="auto" w:fill="2F5D62"/>
          </w:tcPr>
          <w:p>
            <w:r>
              <w:rPr>
                <w:b/>
                <w:color w:val="FFFFFF"/>
                <w:sz w:val="19"/>
              </w:rPr>
              <w:t>Esito da verificare</w:t>
            </w:r>
          </w:p>
        </w:tc>
      </w:tr>
      <w:tr>
        <w:tc>
          <w:tcPr>
            <w:tcW w:type="dxa" w:w="2880"/>
          </w:tcPr>
          <w:p>
            <w:r>
              <w:rPr>
                <w:sz w:val="19"/>
              </w:rPr>
              <w:t>Consent Mode v2</w:t>
            </w:r>
          </w:p>
        </w:tc>
        <w:tc>
          <w:tcPr>
            <w:tcW w:type="dxa" w:w="2880"/>
          </w:tcPr>
          <w:p>
            <w:r>
              <w:rPr>
                <w:sz w:val="19"/>
              </w:rPr>
              <w:t>da verificare</w:t>
            </w:r>
          </w:p>
        </w:tc>
        <w:tc>
          <w:tcPr>
            <w:tcW w:type="dxa" w:w="2880"/>
          </w:tcPr>
          <w:p>
            <w:r>
              <w:rPr>
                <w:sz w:val="19"/>
              </w:rPr>
              <w:t>segnali di consenso ricevuti correttamente da Google Ads in ogni scenario di consenso</w:t>
            </w:r>
          </w:p>
        </w:tc>
      </w:tr>
      <w:tr>
        <w:tc>
          <w:tcPr>
            <w:tcW w:type="dxa" w:w="2880"/>
            <w:shd w:val="clear" w:color="auto" w:fill="EEF2F1"/>
          </w:tcPr>
          <w:p>
            <w:r>
              <w:rPr>
                <w:sz w:val="19"/>
              </w:rPr>
              <w:t>Conversione primaria (richiesta preventivo)</w:t>
            </w:r>
          </w:p>
        </w:tc>
        <w:tc>
          <w:tcPr>
            <w:tcW w:type="dxa" w:w="2880"/>
            <w:shd w:val="clear" w:color="auto" w:fill="EEF2F1"/>
          </w:tcPr>
          <w:p>
            <w:r>
              <w:rPr>
                <w:sz w:val="19"/>
              </w:rPr>
              <w:t>non dichiarata</w:t>
            </w:r>
          </w:p>
        </w:tc>
        <w:tc>
          <w:tcPr>
            <w:tcW w:type="dxa" w:w="2880"/>
            <w:shd w:val="clear" w:color="auto" w:fill="EEF2F1"/>
          </w:tcPr>
          <w:p>
            <w:r>
              <w:rPr>
                <w:sz w:val="19"/>
              </w:rPr>
              <w:t>evento cablato su form/telefono/email e visibile in Google Ads</w:t>
            </w:r>
          </w:p>
        </w:tc>
      </w:tr>
      <w:tr>
        <w:tc>
          <w:tcPr>
            <w:tcW w:type="dxa" w:w="2880"/>
          </w:tcPr>
          <w:p>
            <w:r>
              <w:rPr>
                <w:sz w:val="19"/>
              </w:rPr>
              <w:t>Allineamento GA4</w:t>
            </w:r>
          </w:p>
        </w:tc>
        <w:tc>
          <w:tcPr>
            <w:tcW w:type="dxa" w:w="2880"/>
          </w:tcPr>
          <w:p>
            <w:r>
              <w:rPr>
                <w:sz w:val="19"/>
              </w:rPr>
              <w:t>da verificare</w:t>
            </w:r>
          </w:p>
        </w:tc>
        <w:tc>
          <w:tcPr>
            <w:tcW w:type="dxa" w:w="2880"/>
          </w:tcPr>
          <w:p>
            <w:r>
              <w:rPr>
                <w:sz w:val="19"/>
              </w:rPr>
              <w:t>stessa definizione di conversione su Google Ads e GA4</w:t>
            </w:r>
          </w:p>
        </w:tc>
      </w:tr>
      <w:tr>
        <w:tc>
          <w:tcPr>
            <w:tcW w:type="dxa" w:w="2880"/>
            <w:shd w:val="clear" w:color="auto" w:fill="EEF2F1"/>
          </w:tcPr>
          <w:p>
            <w:r>
              <w:rPr>
                <w:sz w:val="19"/>
              </w:rPr>
              <w:t>Enhanced conversions</w:t>
            </w:r>
          </w:p>
        </w:tc>
        <w:tc>
          <w:tcPr>
            <w:tcW w:type="dxa" w:w="2880"/>
            <w:shd w:val="clear" w:color="auto" w:fill="EEF2F1"/>
          </w:tcPr>
          <w:p>
            <w:r>
              <w:rPr>
                <w:sz w:val="19"/>
              </w:rPr>
              <w:t>non attive</w:t>
            </w:r>
          </w:p>
        </w:tc>
        <w:tc>
          <w:tcPr>
            <w:tcW w:type="dxa" w:w="2880"/>
            <w:shd w:val="clear" w:color="auto" w:fill="EEF2F1"/>
          </w:tcPr>
          <w:p>
            <w:r>
              <w:rPr>
                <w:sz w:val="19"/>
              </w:rPr>
              <w:t>match-rate del form migliorato rispetto alla baseline</w:t>
            </w:r>
          </w:p>
        </w:tc>
      </w:tr>
      <w:tr>
        <w:tc>
          <w:tcPr>
            <w:tcW w:type="dxa" w:w="2880"/>
          </w:tcPr>
          <w:p>
            <w:r>
              <w:rPr>
                <w:sz w:val="19"/>
              </w:rPr>
              <w:t>Percorso verso B+ (import CRM)</w:t>
            </w:r>
          </w:p>
        </w:tc>
        <w:tc>
          <w:tcPr>
            <w:tcW w:type="dxa" w:w="2880"/>
          </w:tcPr>
          <w:p>
            <w:r>
              <w:rPr>
                <w:sz w:val="19"/>
              </w:rPr>
              <w:t>CRM non dichiarato</w:t>
            </w:r>
          </w:p>
        </w:tc>
        <w:tc>
          <w:tcPr>
            <w:tcW w:type="dxa" w:w="2880"/>
          </w:tcPr>
          <w:p>
            <w:r>
              <w:rPr>
                <w:sz w:val="19"/>
              </w:rPr>
              <w:t>responsabile assegnato e connessione pianificata</w:t>
            </w:r>
          </w:p>
        </w:tc>
      </w:tr>
      <w:tr>
        <w:tc>
          <w:tcPr>
            <w:tcW w:type="dxa" w:w="2880"/>
            <w:shd w:val="clear" w:color="auto" w:fill="EEF2F1"/>
          </w:tcPr>
          <w:p>
            <w:r>
              <w:rPr>
                <w:sz w:val="19"/>
              </w:rPr>
              <w:t>Parità tariffaria (prerequisito Hotel Ads)</w:t>
            </w:r>
          </w:p>
        </w:tc>
        <w:tc>
          <w:tcPr>
            <w:tcW w:type="dxa" w:w="2880"/>
            <w:shd w:val="clear" w:color="auto" w:fill="EEF2F1"/>
          </w:tcPr>
          <w:p>
            <w:r>
              <w:rPr>
                <w:sz w:val="19"/>
              </w:rPr>
              <w:t>non presidiata</w:t>
            </w:r>
          </w:p>
        </w:tc>
        <w:tc>
          <w:tcPr>
            <w:tcW w:type="dxa" w:w="2880"/>
            <w:shd w:val="clear" w:color="auto" w:fill="EEF2F1"/>
          </w:tcPr>
          <w:p>
            <w:r>
              <w:rPr>
                <w:sz w:val="19"/>
              </w:rPr>
              <w:t>verifica del partner di connettività completata</w:t>
            </w:r>
          </w:p>
        </w:tc>
      </w:tr>
    </w:tbl>
    <w:p>
      <w:pPr>
        <w:spacing w:after="160"/>
      </w:pPr>
    </w:p>
    <w:p>
      <w:pPr>
        <w:spacing w:before="160" w:after="40"/>
      </w:pPr>
      <w:r>
        <w:rPr>
          <w:b/>
          <w:color w:val="2F5D62"/>
          <w:sz w:val="24"/>
        </w:rPr>
        <w:t>Note esecutive</w:t>
      </w:r>
    </w:p>
    <w:p>
      <w:r>
        <w:t>Nessuna di queste verifiche richiede un budget media: sono condizioni di cantiere, non spesa pubblicitaria, e per questo vanno chiuse prima dell'accensione del non-brand e di Hotel Ads, non in parallelo. Il decision record classifica i link di prenotazione gratuiti come primo passo sempre disponibile, indipendente da questi prerequisiti: possono restare attivi da subito, mentre il bidding a pagamento su Hotel Ads attende la verifica di parità qui descritta.</w:t>
      </w:r>
    </w:p>
    <w:p>
      <w:r>
        <w:br w:type="page"/>
      </w:r>
    </w:p>
    <w:p>
      <w:pPr>
        <w:spacing w:after="0"/>
      </w:pPr>
      <w:r>
        <w:rPr>
          <w:b/>
          <w:color w:val="2F5D62"/>
          <w:sz w:val="18"/>
        </w:rPr>
        <w:t>SEZIONE 03</w:t>
      </w:r>
    </w:p>
    <w:p>
      <w:pPr>
        <w:spacing w:after="200"/>
        <w:pBdr>
          <w:bottom w:val="single" w:sz="18" w:space="6" w:color="2F5D62"/>
        </w:pBdr>
      </w:pPr>
      <w:r>
        <w:rPr>
          <w:b/>
          <w:color w:val="1A1A2E"/>
          <w:sz w:val="40"/>
        </w:rPr>
        <w:t>Architettura dell'account</w:t>
      </w:r>
    </w:p>
    <w:p>
      <w:pPr>
        <w:spacing w:before="160" w:after="40"/>
      </w:pPr>
      <w:r>
        <w:rPr>
          <w:b/>
          <w:color w:val="2F5D62"/>
          <w:sz w:val="24"/>
        </w:rPr>
        <w:t>Architettura campagne (decision record PPC)</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Campagna</w:t>
            </w:r>
          </w:p>
        </w:tc>
        <w:tc>
          <w:tcPr>
            <w:tcW w:type="dxa" w:w="2160"/>
            <w:shd w:val="clear" w:color="auto" w:fill="2F5D62"/>
          </w:tcPr>
          <w:p>
            <w:r>
              <w:rPr>
                <w:b/>
                <w:color w:val="FFFFFF"/>
                <w:sz w:val="19"/>
              </w:rPr>
              <w:t>Stato / condizione</w:t>
            </w:r>
          </w:p>
        </w:tc>
        <w:tc>
          <w:tcPr>
            <w:tcW w:type="dxa" w:w="2160"/>
            <w:shd w:val="clear" w:color="auto" w:fill="2F5D62"/>
          </w:tcPr>
          <w:p>
            <w:r>
              <w:rPr>
                <w:b/>
                <w:color w:val="FFFFFF"/>
                <w:sz w:val="19"/>
              </w:rPr>
              <w:t>Obiettivo</w:t>
            </w:r>
          </w:p>
        </w:tc>
        <w:tc>
          <w:tcPr>
            <w:tcW w:type="dxa" w:w="2160"/>
            <w:shd w:val="clear" w:color="auto" w:fill="2F5D62"/>
          </w:tcPr>
          <w:p>
            <w:r>
              <w:rPr>
                <w:b/>
                <w:color w:val="FFFFFF"/>
                <w:sz w:val="19"/>
              </w:rPr>
              <w:t>KPI guida</w:t>
            </w:r>
          </w:p>
        </w:tc>
      </w:tr>
      <w:tr>
        <w:tc>
          <w:tcPr>
            <w:tcW w:type="dxa" w:w="2160"/>
          </w:tcPr>
          <w:p>
            <w:r>
              <w:rPr>
                <w:sz w:val="19"/>
              </w:rPr>
              <w:t>Brand protection (Search)</w:t>
            </w:r>
          </w:p>
        </w:tc>
        <w:tc>
          <w:tcPr>
            <w:tcW w:type="dxa" w:w="2160"/>
          </w:tcPr>
          <w:p>
            <w:r>
              <w:rPr>
                <w:sz w:val="19"/>
              </w:rPr>
              <w:t>sempre attiva, prima di ogni altra spesa</w:t>
            </w:r>
          </w:p>
        </w:tc>
        <w:tc>
          <w:tcPr>
            <w:tcW w:type="dxa" w:w="2160"/>
          </w:tcPr>
          <w:p>
            <w:r>
              <w:rPr>
                <w:sz w:val="19"/>
              </w:rPr>
              <w:t>difendere il nome dalle OTA</w:t>
            </w:r>
          </w:p>
        </w:tc>
        <w:tc>
          <w:tcPr>
            <w:tcW w:type="dxa" w:w="2160"/>
          </w:tcPr>
          <w:p>
            <w:r>
              <w:rPr>
                <w:sz w:val="19"/>
              </w:rPr>
              <w:t>impression share ≥90%</w:t>
            </w:r>
          </w:p>
        </w:tc>
      </w:tr>
      <w:tr>
        <w:tc>
          <w:tcPr>
            <w:tcW w:type="dxa" w:w="2160"/>
            <w:shd w:val="clear" w:color="auto" w:fill="EEF2F1"/>
          </w:tcPr>
          <w:p>
            <w:r>
              <w:rPr>
                <w:sz w:val="19"/>
              </w:rPr>
              <w:t>Search non-brand / destinazione</w:t>
            </w:r>
          </w:p>
        </w:tc>
        <w:tc>
          <w:tcPr>
            <w:tcW w:type="dxa" w:w="2160"/>
            <w:shd w:val="clear" w:color="auto" w:fill="EEF2F1"/>
          </w:tcPr>
          <w:p>
            <w:r>
              <w:rPr>
                <w:sz w:val="19"/>
              </w:rPr>
              <w:t>secondo il verdetto strategia (attivare_stagionale)</w:t>
            </w:r>
          </w:p>
        </w:tc>
        <w:tc>
          <w:tcPr>
            <w:tcW w:type="dxa" w:w="2160"/>
            <w:shd w:val="clear" w:color="auto" w:fill="EEF2F1"/>
          </w:tcPr>
          <w:p>
            <w:r>
              <w:rPr>
                <w:sz w:val="19"/>
              </w:rPr>
              <w:t>domanda commerciale della destinazione</w:t>
            </w:r>
          </w:p>
        </w:tc>
        <w:tc>
          <w:tcPr>
            <w:tcW w:type="dxa" w:w="2160"/>
            <w:shd w:val="clear" w:color="auto" w:fill="EEF2F1"/>
          </w:tcPr>
          <w:p>
            <w:r>
              <w:rPr>
                <w:sz w:val="19"/>
              </w:rPr>
              <w:t>costo per richiesta di preventivo</w:t>
            </w:r>
          </w:p>
        </w:tc>
      </w:tr>
      <w:tr>
        <w:tc>
          <w:tcPr>
            <w:tcW w:type="dxa" w:w="2160"/>
          </w:tcPr>
          <w:p>
            <w:r>
              <w:rPr>
                <w:sz w:val="19"/>
              </w:rPr>
              <w:t>Google Hotel Ads</w:t>
            </w:r>
          </w:p>
        </w:tc>
        <w:tc>
          <w:tcPr>
            <w:tcW w:type="dxa" w:w="2160"/>
          </w:tcPr>
          <w:p>
            <w:r>
              <w:rPr>
                <w:sz w:val="19"/>
              </w:rPr>
              <w:t>condizionata (v. prerequisiti)</w:t>
            </w:r>
          </w:p>
        </w:tc>
        <w:tc>
          <w:tcPr>
            <w:tcW w:type="dxa" w:w="2160"/>
          </w:tcPr>
          <w:p>
            <w:r>
              <w:rPr>
                <w:sz w:val="19"/>
              </w:rPr>
              <w:t>presidio del modulo prezzi Google</w:t>
            </w:r>
          </w:p>
        </w:tc>
        <w:tc>
          <w:tcPr>
            <w:tcW w:type="dxa" w:w="2160"/>
          </w:tcPr>
          <w:p>
            <w:r>
              <w:rPr>
                <w:sz w:val="19"/>
              </w:rPr>
              <w:t>costo per richiesta di preventivo</w:t>
            </w:r>
          </w:p>
        </w:tc>
      </w:tr>
      <w:tr>
        <w:tc>
          <w:tcPr>
            <w:tcW w:type="dxa" w:w="2160"/>
            <w:shd w:val="clear" w:color="auto" w:fill="EEF2F1"/>
          </w:tcPr>
          <w:p>
            <w:r>
              <w:rPr>
                <w:sz w:val="19"/>
              </w:rPr>
              <w:t>Display remarketing</w:t>
            </w:r>
          </w:p>
        </w:tc>
        <w:tc>
          <w:tcPr>
            <w:tcW w:type="dxa" w:w="2160"/>
            <w:shd w:val="clear" w:color="auto" w:fill="EEF2F1"/>
          </w:tcPr>
          <w:p>
            <w:r>
              <w:rPr>
                <w:sz w:val="19"/>
              </w:rPr>
              <w:t>dopo l'infrastruttura di misurazione (fase zero)</w:t>
            </w:r>
          </w:p>
        </w:tc>
        <w:tc>
          <w:tcPr>
            <w:tcW w:type="dxa" w:w="2160"/>
            <w:shd w:val="clear" w:color="auto" w:fill="EEF2F1"/>
          </w:tcPr>
          <w:p>
            <w:r>
              <w:rPr>
                <w:sz w:val="19"/>
              </w:rPr>
              <w:t>recupero degli abbandoni del funnel</w:t>
            </w:r>
          </w:p>
        </w:tc>
        <w:tc>
          <w:tcPr>
            <w:tcW w:type="dxa" w:w="2160"/>
            <w:shd w:val="clear" w:color="auto" w:fill="EEF2F1"/>
          </w:tcPr>
          <w:p>
            <w:r>
              <w:rPr>
                <w:sz w:val="19"/>
              </w:rPr>
              <w:t>costo per richiesta di preventivo</w:t>
            </w:r>
          </w:p>
        </w:tc>
      </w:tr>
      <w:tr>
        <w:tc>
          <w:tcPr>
            <w:tcW w:type="dxa" w:w="2160"/>
          </w:tcPr>
          <w:p>
            <w:r>
              <w:rPr>
                <w:sz w:val="19"/>
              </w:rPr>
              <w:t>Performance Max / AI Max</w:t>
            </w:r>
          </w:p>
        </w:tc>
        <w:tc>
          <w:tcPr>
            <w:tcW w:type="dxa" w:w="2160"/>
          </w:tcPr>
          <w:p>
            <w:r>
              <w:rPr>
                <w:sz w:val="19"/>
              </w:rPr>
              <w:t>pilota successivo, con esclusione brand e Final URL expansion disattivata</w:t>
            </w:r>
          </w:p>
        </w:tc>
        <w:tc>
          <w:tcPr>
            <w:tcW w:type="dxa" w:w="2160"/>
          </w:tcPr>
          <w:p>
            <w:r>
              <w:rPr>
                <w:sz w:val="19"/>
              </w:rPr>
              <w:t>espansione oltre le keyword, sotto controllo</w:t>
            </w:r>
          </w:p>
        </w:tc>
        <w:tc>
          <w:tcPr>
            <w:tcW w:type="dxa" w:w="2160"/>
          </w:tcPr>
          <w:p>
            <w:r>
              <w:rPr>
                <w:sz w:val="19"/>
              </w:rPr>
              <w:t>incrementalità a livello account</w:t>
            </w:r>
          </w:p>
        </w:tc>
      </w:tr>
    </w:tbl>
    <w:p>
      <w:pPr>
        <w:spacing w:after="160"/>
      </w:pPr>
    </w:p>
    <w:p>
      <w:r>
        <w:t>L'account si costruisce a strati, non tutto insieme: ogni livello si accende solo quando quello sotto è stabile e misurato. Brand e non-brand vivono in campagne separate — non sono varianti dello stesso obiettivo ma due mestieri diversi, con budget e soglie di successo propri — e nessun formato entra in produzione senza un perimetro scritto che ne limiti i rischi. Questo è il criterio che governa la sequenza sotto: si parte dalla difesa del nome, si passa alla domanda di destinazione, si aggiunge il livello metasearch quando la parità tariffaria è verificata, e solo alla fine si valuta un pilota Performance Max/AI Max sotto steccati espliciti.</w:t>
      </w:r>
    </w:p>
    <w:p>
      <w:pPr>
        <w:spacing w:before="160" w:after="40"/>
      </w:pPr>
      <w:r>
        <w:rPr>
          <w:b/>
          <w:color w:val="2F5D62"/>
          <w:sz w:val="24"/>
        </w:rPr>
        <w:t>Obiettivi misurabili</w:t>
      </w:r>
    </w:p>
    <w:p>
      <w:pPr>
        <w:pStyle w:val="ListBullet"/>
      </w:pPr>
      <w:r>
        <w:t>Attivare la campagna brand entro il primo ciclo di build e mantenerla always-on per tutta la stagione, senza interruzioni di presidio</w:t>
      </w:r>
    </w:p>
    <w:p>
      <w:pPr>
        <w:pStyle w:val="ListBullet"/>
      </w:pPr>
      <w:r>
        <w:t>Portare online il livello Hotel Ads con i free booking links prima di qualsiasi valutazione di bidding a pagamento</w:t>
      </w:r>
    </w:p>
    <w:p>
      <w:pPr>
        <w:pStyle w:val="ListBullet"/>
      </w:pPr>
      <w:r>
        <w:t>Aprire il non-brand solo a tracciamento della richiesta di preventivo confermato e funzionante</w:t>
      </w:r>
    </w:p>
    <w:p>
      <w:pPr>
        <w:pStyle w:val="ListBullet"/>
      </w:pPr>
      <w:r>
        <w:t>Contenere il pilota Performance Max/AI Max entro i vincoli del perimetro (no brand, no espansione URL) per tutta la sua durata di test</w:t>
      </w:r>
    </w:p>
    <w:p>
      <w:pPr>
        <w:spacing w:before="160" w:after="40"/>
      </w:pPr>
      <w:r>
        <w:rPr>
          <w:b/>
          <w:color w:val="2F5D62"/>
          <w:sz w:val="24"/>
        </w:rPr>
        <w:t>Azioni</w:t>
      </w:r>
    </w:p>
    <w:p>
      <w:r>
        <w:t>Il primo mattone è la campagna di protezione del marchio: nome dell'hotel e sue varianti, exact e phrase, con le negative già impostate sui nomi degli intermediari che oggi intercettano quella domanda. È l'azione a più basso rischio e a ritorno più immediato — chi cerca già "Hotel Baia Imperiale" va portato sul canale diretto, non consegnato a un'OTA che paga per comparire sopra il nome proprio. Questa campagna resta accesa per tutta la stagione, senza pause: è la base su cui si regge tutto il resto.</w:t>
        <w:br/>
        <w:br/>
        <w:t>Una volta stabile il presidio del nome, si collega Google Hotel Ads a partire dai free booking links, che non richiedono alcuna verifica di parità e restano il passo gratuito e immediato indicato dal Piano Strategico. Il passaggio al bidding sui metasearch — CPC fisso, percentuale sul prezzo camera o target ROAS — resta condizionato: si attiva solo dopo che il partner di connettività tariffaria è verificato e la parità è confermata, perché altrimenti si rischia di pagare clic su tariffe che il motore di prenotazione non può onorare allo stesso prezzo.</w:t>
        <w:br/>
        <w:br/>
        <w:t>Il livello non-brand si costruisce per tema di destinazione, non come contenitore unico: una campagna per cluster di intento (posizione fronte mare, formula benessere/SPA, formula famiglia), ciascuna con il proprio budget e la propria soglia di lettura, così da poter spostare risorse tra temi senza disturbare gli altri. Qui la conversione primaria è la richiesta di preventivo — nessuna promessa di prenotazione immediata, ma la generazione di un contatto qualificato che lo staff può poi lavorare con lo stesso livello di cura riconosciuto nelle recensioni.</w:t>
        <w:br/>
        <w:br/>
        <w:t>Il remarketing display si apre in sequenza dietro il non-brand, con priorità agli abbandoni nel funnel di richiesta, poi ai visitatori delle pagine di offerta/camera, infine ai visitatori generici: è il livello che recupera la domanda già intercettata, non quello che la genera.</w:t>
        <w:br/>
        <w:br/>
        <w:t>Performance Max o AI Max entrano solo come pilota sotto steccato: parole brand escluse dall'attivazione, espansione dell'URL finale disattivata (il funnel di richiesta non deve essere sostituito da una pagina di destinazione automatica), un brief che vieta all'intelligenza artificiale di inventare prezzi, formule o servizi non confermati, e una revisione settimanale dei termini di ricerca effettivi per intercettare tempestivamente sovrapposizioni con le campagne già attive. Il giudizio sul pilota si dà a livello di account, non di singola campagna: se gran parte del traffico generato coincide con parole chiave già presidiate altrove, il pilota non aggiunge valore e va rivisto.</w:t>
      </w:r>
    </w:p>
    <w:p>
      <w:pPr>
        <w:spacing w:before="160" w:after="40"/>
      </w:pPr>
      <w:r>
        <w:rPr>
          <w:b/>
          <w:color w:val="2F5D62"/>
          <w:sz w:val="24"/>
        </w:rPr>
        <w:t>KPI</w:t>
      </w:r>
    </w:p>
    <w:p>
      <w:pPr>
        <w:pStyle w:val="ListBullet"/>
      </w:pPr>
      <w:r>
        <w:t>Quota impression brand mantenuta sopra la soglia già fissata nel quadro del piano</w:t>
      </w:r>
    </w:p>
    <w:p>
      <w:pPr>
        <w:pStyle w:val="ListBullet"/>
      </w:pPr>
      <w:r>
        <w:t>Volume di richieste di preventivo generate dal layer non-brand, letto per cluster tematico</w:t>
      </w:r>
    </w:p>
    <w:p>
      <w:pPr>
        <w:pStyle w:val="ListBullet"/>
      </w:pPr>
      <w:r>
        <w:t>Verifica di parità tariffaria completata come condizione per attivare il bidding Hotel Ads</w:t>
      </w:r>
    </w:p>
    <w:p>
      <w:pPr>
        <w:pStyle w:val="ListBullet"/>
      </w:pPr>
      <w:r>
        <w:t>Quota di sovrapposizione tra termini di ricerca del pilota PMax/AI Max e parole chiave già coperte, rilevata nella revisione settimanale</w:t>
      </w:r>
    </w:p>
    <w:p>
      <w:pPr>
        <w:spacing w:before="160" w:after="40"/>
      </w:pPr>
      <w:r>
        <w:rPr>
          <w:b/>
          <w:color w:val="2F5D62"/>
          <w:sz w:val="24"/>
        </w:rPr>
        <w:t>Note esecutive</w:t>
      </w:r>
    </w:p>
    <w:p>
      <w:r>
        <w:t>Il decision record impone il vincolo di sequenza: nessun livello successivo si accende prima che quello precedente sia stabile e leggibile. Il pilota PMax/AI Max resta per definizione sperimentale e a perimetro chiuso finché il volume di richieste di preventivo non giustifica un allargamento; il bidding Hotel Ads resta condizionato alla verifica del partner di connettività tariffaria, non ancora confermata nei dati disponibili.</w:t>
      </w:r>
    </w:p>
    <w:p>
      <w:r>
        <w:br w:type="page"/>
      </w:r>
    </w:p>
    <w:p>
      <w:pPr>
        <w:spacing w:after="0"/>
      </w:pPr>
      <w:r>
        <w:rPr>
          <w:b/>
          <w:color w:val="2F5D62"/>
          <w:sz w:val="18"/>
        </w:rPr>
        <w:t>SEZIONE 04</w:t>
      </w:r>
    </w:p>
    <w:p>
      <w:pPr>
        <w:spacing w:after="200"/>
        <w:pBdr>
          <w:bottom w:val="single" w:sz="18" w:space="6" w:color="2F5D62"/>
        </w:pBdr>
      </w:pPr>
      <w:r>
        <w:rPr>
          <w:b/>
          <w:color w:val="1A1A2E"/>
          <w:sz w:val="40"/>
        </w:rPr>
        <w:t>Keyword e negative</w:t>
      </w:r>
    </w:p>
    <w:p>
      <w:pPr>
        <w:spacing w:before="160" w:after="40"/>
      </w:pPr>
      <w:r>
        <w:rPr>
          <w:b/>
          <w:color w:val="2F5D62"/>
          <w:sz w:val="24"/>
        </w:rPr>
        <w:t>Nucleo brand protection (parametri deterministici)</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Parametro</w:t>
            </w:r>
          </w:p>
        </w:tc>
        <w:tc>
          <w:tcPr>
            <w:tcW w:type="dxa" w:w="4320"/>
            <w:shd w:val="clear" w:color="auto" w:fill="2F5D62"/>
          </w:tcPr>
          <w:p>
            <w:r>
              <w:rPr>
                <w:b/>
                <w:color w:val="FFFFFF"/>
                <w:sz w:val="19"/>
              </w:rPr>
              <w:t>Valore</w:t>
            </w:r>
          </w:p>
        </w:tc>
      </w:tr>
      <w:tr>
        <w:tc>
          <w:tcPr>
            <w:tcW w:type="dxa" w:w="4320"/>
          </w:tcPr>
          <w:p>
            <w:r>
              <w:rPr>
                <w:sz w:val="19"/>
              </w:rPr>
              <w:t>Varianti da presidiare (exact/phrase)</w:t>
            </w:r>
          </w:p>
        </w:tc>
        <w:tc>
          <w:tcPr>
            <w:tcW w:type="dxa" w:w="4320"/>
          </w:tcPr>
          <w:p>
            <w:r>
              <w:rPr>
                <w:sz w:val="19"/>
              </w:rPr>
              <w:t>Hotel Baia Imperiale; Baia Imperiale; Hotel Baia Imperiale Rimini; Hotel Baia Imperiale sito ufficiale</w:t>
            </w:r>
          </w:p>
        </w:tc>
      </w:tr>
      <w:tr>
        <w:tc>
          <w:tcPr>
            <w:tcW w:type="dxa" w:w="4320"/>
            <w:shd w:val="clear" w:color="auto" w:fill="EEF2F1"/>
          </w:tcPr>
          <w:p>
            <w:r>
              <w:rPr>
                <w:sz w:val="19"/>
              </w:rPr>
              <w:t>Negative (intermediari)</w:t>
            </w:r>
          </w:p>
        </w:tc>
        <w:tc>
          <w:tcPr>
            <w:tcW w:type="dxa" w:w="4320"/>
            <w:shd w:val="clear" w:color="auto" w:fill="EEF2F1"/>
          </w:tcPr>
          <w:p>
            <w:r>
              <w:rPr>
                <w:sz w:val="19"/>
              </w:rPr>
              <w:t>booking, booking.com, expedia, trivago, tripadvisor, hotels.com, agoda, kayak, lastminute, edreams, airbnb</w:t>
            </w:r>
          </w:p>
        </w:tc>
      </w:tr>
      <w:tr>
        <w:tc>
          <w:tcPr>
            <w:tcW w:type="dxa" w:w="4320"/>
          </w:tcPr>
          <w:p>
            <w:r>
              <w:rPr>
                <w:sz w:val="19"/>
              </w:rPr>
              <w:t>Budget riserva</w:t>
            </w:r>
          </w:p>
        </w:tc>
        <w:tc>
          <w:tcPr>
            <w:tcW w:type="dxa" w:w="4320"/>
          </w:tcPr>
          <w:p>
            <w:r>
              <w:rPr>
                <w:sz w:val="19"/>
              </w:rPr>
              <w:t>5 €–15 € al giorno</w:t>
            </w:r>
          </w:p>
        </w:tc>
      </w:tr>
      <w:tr>
        <w:tc>
          <w:tcPr>
            <w:tcW w:type="dxa" w:w="4320"/>
            <w:shd w:val="clear" w:color="auto" w:fill="EEF2F1"/>
          </w:tcPr>
          <w:p>
            <w:r>
              <w:rPr>
                <w:sz w:val="19"/>
              </w:rPr>
              <w:t>Impression share obiettivo</w:t>
            </w:r>
          </w:p>
        </w:tc>
        <w:tc>
          <w:tcPr>
            <w:tcW w:type="dxa" w:w="4320"/>
            <w:shd w:val="clear" w:color="auto" w:fill="EEF2F1"/>
          </w:tcPr>
          <w:p>
            <w:r>
              <w:rPr>
                <w:sz w:val="19"/>
              </w:rPr>
              <w:t>≥90%</w:t>
            </w:r>
          </w:p>
        </w:tc>
      </w:tr>
    </w:tbl>
    <w:p>
      <w:pPr>
        <w:spacing w:after="160"/>
      </w:pPr>
    </w:p>
    <w:p>
      <w:r>
        <w:t>Il nucleo brand (nome dell'hotel e varianti, con i negativi verso gli intermediari) è già definito in architettura: qui si costruisce il livello non-brand, che nasce direttamente dal ledger di domanda della diagnosi e non da un elenco teorico. La logica è semplice: si presidiano prima le query ad alto volume e intento chiaro che oggi non intercettiamo, si tengono le query informazionali fuori dal search a pagamento e le si riserva al remarketing, e si scarica sui negativi tutto ciò che non è conversione — nomi di OTA, competitor, intenti fuori target. Ogni euro sul non-brand va su una query che oggi risulta in gap, non su ciò che già presidiamo in posizione utile.</w:t>
      </w:r>
    </w:p>
    <w:p>
      <w:pPr>
        <w:spacing w:before="160" w:after="40"/>
      </w:pPr>
      <w:r>
        <w:rPr>
          <w:b/>
          <w:color w:val="2F5D62"/>
          <w:sz w:val="24"/>
        </w:rPr>
        <w:t>Obiettivi misurabili</w:t>
      </w:r>
    </w:p>
    <w:p>
      <w:pPr>
        <w:pStyle w:val="ListBullet"/>
      </w:pPr>
      <w:r>
        <w:t>Coprire in Search non-brand i temi ad alto volume oggi non intercettati, a partire da «hotel rimini» (27100/mese) e «hotel rimini italy» (12100/mese), entrambe non_intercettata nel ledger</w:t>
      </w:r>
    </w:p>
    <w:p>
      <w:pPr>
        <w:pStyle w:val="ListBullet"/>
      </w:pPr>
      <w:r>
        <w:t>Non disperdere budget sulle due query già presidiate in organico in buona posizione («hotel rimini sul mare», pos.4; «hotel rimini con piscina», pos.7): il paid le lascia lavorare alla SEO e si concentra sul gap</w:t>
      </w:r>
    </w:p>
    <w:p>
      <w:pPr>
        <w:pStyle w:val="ListBullet"/>
      </w:pPr>
      <w:r>
        <w:t>Costruire liste negative operative per intermediari e competitor prima dell'attivazione del primo euro non-brand, non dopo il primo report</w:t>
      </w:r>
    </w:p>
    <w:p>
      <w:pPr>
        <w:spacing w:before="160" w:after="40"/>
      </w:pPr>
      <w:r>
        <w:rPr>
          <w:b/>
          <w:color w:val="2F5D62"/>
          <w:sz w:val="24"/>
        </w:rPr>
        <w:t>Azioni</w:t>
      </w:r>
    </w:p>
    <w:p>
      <w:r>
        <w:t>Il primo blocco di temi non-brand nasce dalle query a intento diretto e volume alto del ledger: «hotel rimini» (27100/mese), «hotel rimini italy» (12100/mese), «hotel rimini booking» (2900/mese) e «hotel booking rimini italy» (2900/mese) formano il tema destinazione generalista, quello che oggi pesa più di ogni altro gap e che va in corrispondenza diretta con la home o con una landing dedicata alla destinazione, non con una pagina di prodotto. Un secondo tema copre il prodotto famiglia: «family hotel rimini» (2400/mese) e «hotel rimini pensione completa» (3600/mese) intercettano esattamente il lessico dei trattamenti di soggiorno — la pensione completa, mezza pensione, all inclusive — e vanno collegati a una landing che nomini il piano famiglia, la spiaggia inclusa e le condizioni bambini gratis per fascia d'età, non a una pagina generica. Un terzo tema copre la categoria dichiarata: «hotel 4 stelle rimini» (2400/mese), oggi fuori dal gap competitivo secondo il ledger ma coerente con la certificazione della struttura, va testato come corrispondenza a frase, non a corrispondenza generica, per non disperdere clic su intenti troppo larghi. Un quarto tema, più stretto, copre la zona: «hotel rimini marina centro» (2400/mese) e «hotel rimini centro» (1900/mese) vanno collegati a una landing o a una sezione che chiarisca la posizione fronte mare nella Baia di San Giuliano e la distanza a piedi dal centro storico, così da correggere sul nascere l'aspettativa di chi cerca una posizione diversa. Restano fuori dal search a pagamento le query a intento informazionale — che nel ledger pesano il 95% della domanda complessiva — perché non generano una richiesta di preventivo diretta: quella domanda si intercetta con la SEO organica e si riattiva via remarketing display sui visitatori che hanno già mostrato interesse. «hotel con spa rimini» (2400/mese) e «hotel all inclusive rimini» (1000/mese), segnalate nel ledger come varianti correlate o presenti ma non competitive, restano in osservazione per un ciclo prima di un investimento diretto: non hanno ancora la stessa priorità dei quattro temi sopra. La lista negativa cresce in parallelo e non si esaurisce alla creazione della campagna: nomi delle OTA e degli intermediari (che nel layer brand sono già negati sul nome dell'hotel, qui vanno negati anche sui temi non-brand per evitare che l'annuncio si affianchi a un intento di comparazione prezzo), nomi dei competitor diretti del set comportamentale, e intenti fuori target come ricerche di lavoro, informazioni su indirizzo isolato senza intento di soggiorno, o query B&amp;B quando il posizionamento resta a 4 stelle — «b&amp;b rimini» (4400/mese) è nel ledger ma non è coerente con la categoria della struttura e va escluso, non intercettato. Il copy segue lo stesso principio del prodotto: dove il vantaggio del diretto è verificabile — cancellazione più flessibile, un vantaggio riservato a chi prenota sul sito — lo si scrive in termini concreti, mai come miglior prezzo garantito se la parità tariffaria non è ancora verificata; ogni annuncio punta alla landing del proprio tema, mai a una pagina generica, perché la promessa dell'annuncio deve trovare immediatamente la sua conferma nella pagina di arrivo.</w:t>
      </w:r>
    </w:p>
    <w:p>
      <w:pPr>
        <w:spacing w:before="160" w:after="40"/>
      </w:pPr>
      <w:r>
        <w:rPr>
          <w:b/>
          <w:color w:val="2F5D62"/>
          <w:sz w:val="24"/>
        </w:rPr>
        <w:t>KPI</w:t>
      </w:r>
    </w:p>
    <w:p>
      <w:pPr>
        <w:pStyle w:val="ListBullet"/>
      </w:pPr>
      <w:r>
        <w:t>Query search coperte sui quattro temi non-brand prioritari, con verifica mensile dei termini di ricerca effettivi rispetto al ledger</w:t>
      </w:r>
    </w:p>
    <w:p>
      <w:pPr>
        <w:pStyle w:val="ListBullet"/>
      </w:pPr>
      <w:r>
        <w:t>Incidenza dei clic negativizzati (intermediari, competitor, intenti fuori target) sul totale delle impression del livello non-brand</w:t>
      </w:r>
    </w:p>
    <w:p>
      <w:pPr>
        <w:pStyle w:val="ListBullet"/>
      </w:pPr>
      <w:r>
        <w:t>Costo per richiesta di preventivo per tema, confrontato tra i quattro cluster per capire dove spostare budget</w:t>
      </w:r>
    </w:p>
    <w:p>
      <w:pPr>
        <w:spacing w:before="160" w:after="40"/>
      </w:pPr>
      <w:r>
        <w:rPr>
          <w:b/>
          <w:color w:val="2F5D62"/>
          <w:sz w:val="24"/>
        </w:rPr>
        <w:t>Note esecutive</w:t>
      </w:r>
    </w:p>
    <w:p>
      <w:r>
        <w:t>Il ledger di domanda è l'unico riferimento per volumi e posizioni: nessun tema nuovo entra in campagna senza comparire in quella tabella. La revisione dei termini di ricerca resta settimanale nella fase di avvio, per intercettare in tempo varianti non previste e alimentare la lista negativa prima che assorbano budget.</w:t>
      </w:r>
    </w:p>
    <w:p>
      <w:r>
        <w:br w:type="page"/>
      </w:r>
    </w:p>
    <w:p>
      <w:pPr>
        <w:spacing w:after="0"/>
      </w:pPr>
      <w:r>
        <w:rPr>
          <w:b/>
          <w:color w:val="2F5D62"/>
          <w:sz w:val="18"/>
        </w:rPr>
        <w:t>SEZIONE 05</w:t>
      </w:r>
    </w:p>
    <w:p>
      <w:pPr>
        <w:spacing w:after="200"/>
        <w:pBdr>
          <w:bottom w:val="single" w:sz="18" w:space="6" w:color="2F5D62"/>
        </w:pBdr>
      </w:pPr>
      <w:r>
        <w:rPr>
          <w:b/>
          <w:color w:val="1A1A2E"/>
          <w:sz w:val="40"/>
        </w:rPr>
        <w:t>Mercati e geo-targeting</w:t>
      </w:r>
    </w:p>
    <w:p>
      <w:r>
        <w:t>Il mix di mercato dell'Hotel Baia Imperiale è oggi a larga prevalenza italiana (52,3% delle recensioni Booking in lingua italiana), con il tedesco come primo mercato estero (15,9%), l'inglese a seguire (11,6%) e il francese marginale (2,8%). L'account non introduce mercati nuovi: distribuisce il budget non-brand e la porzione Hotel Ads sui mercati già presenti nel mix, ciascuno nella propria finestra di prenotazione, e riserva ai mercati raggiungibili solo in aereo un test a budget contenuto, dichiarato come ipotesi e non come certezza di ritorno.</w:t>
      </w:r>
    </w:p>
    <w:p>
      <w:pPr>
        <w:spacing w:before="160" w:after="40"/>
      </w:pPr>
      <w:r>
        <w:rPr>
          <w:b/>
          <w:color w:val="2F5D62"/>
          <w:sz w:val="24"/>
        </w:rPr>
        <w:t>Obiettivi misurabili</w:t>
      </w:r>
    </w:p>
    <w:p>
      <w:pPr>
        <w:pStyle w:val="ListBullet"/>
      </w:pPr>
      <w:r>
        <w:t>Attivare campagne in lingua per i mercati italiano e tedesco entro l'accensione del livello non-brand, con creativi e landing coerenti con la lingua del pubblico</w:t>
      </w:r>
    </w:p>
    <w:p>
      <w:pPr>
        <w:pStyle w:val="ListBullet"/>
      </w:pPr>
      <w:r>
        <w:t>Aprire un pilota inglese a budget contenuto, distinto dalle campagne italiana e tedesca, per verificare la risposta del mercato UK/anglofono senza impegnare quota rilevante della riserva stagionale</w:t>
      </w:r>
    </w:p>
    <w:p>
      <w:pPr>
        <w:pStyle w:val="ListBullet"/>
      </w:pPr>
      <w:r>
        <w:t>Far coincidere l'accensione geografica con i mesi di picco spesa già fissati (maggio, giugno, luglio), anticipando la finestra di prenotazione dei mercati esteri rispetto a quella italiana</w:t>
      </w:r>
    </w:p>
    <w:p>
      <w:pPr>
        <w:spacing w:before="160" w:after="40"/>
      </w:pPr>
      <w:r>
        <w:rPr>
          <w:b/>
          <w:color w:val="2F5D62"/>
          <w:sz w:val="24"/>
        </w:rPr>
        <w:t>Azioni</w:t>
      </w:r>
    </w:p>
    <w:p>
      <w:r>
        <w:t>Il mercato italiano resta la base del non-brand: il volume di recensioni e la numerosità del segmento coppie e famiglie in lingua italiana giustificano la quota maggiore del layer destinazione, con copertura sia sulla finestra anticipata sia sul traffico più a ridosso delle date. Il mercato tedesco, secondo per peso nel mix e già ben posizionato in reputazione (HolidayCheck 8,9/10), riceve una campagna in lingua propria: il pubblico di lingua tedesca tende a decidere con anticipo maggiore rispetto a quello italiano, quindi la sua campagna va accesa prima, non in contemporanea con quella domestica, per intercettare la domanda quando si forma e non quando è già canalizzata altrove. L'inglese, terzo mercato per peso, entra come pilota a budget contenuto: non ha ancora la numerosità del tedesco nel mix attuale, quindi la spesa resta proporzionata e il pilota serve a validare se vale la pena assegnargli una campagna stabile nei cicli successivi. Il francese, marginale nel mix (2,8%), non riceve una campagna dedicata in questa fase: resta fuori dal perimetro geografico finché il suo peso non cambia. Il targeting geografico domestico segue la logica drive della destinazione: il raggio di raccolta italiano privilegia i bacini raggiungibili in auto entro poche ore, coerente con un prodotto balneare di prossimità, mentre i mercati esteri restano su base linguistica senza segmentazione regionale aggiuntiva, in assenza di dati più fini sul bacino di provenienza reale. Ogni campagna di mercato eredita la stessa architettura a strati vista in precedenza: nessuna geo-espansione entra prima che la misurazione di fase zero sia verificata su quel mercato specifico, a partire dal tracciamento delle richieste di preventivo in lingua.</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Mercato</w:t>
            </w:r>
          </w:p>
        </w:tc>
        <w:tc>
          <w:tcPr>
            <w:tcW w:type="dxa" w:w="2880"/>
            <w:shd w:val="clear" w:color="auto" w:fill="2F5D62"/>
          </w:tcPr>
          <w:p>
            <w:r>
              <w:rPr>
                <w:b/>
                <w:color w:val="FFFFFF"/>
                <w:sz w:val="19"/>
              </w:rPr>
              <w:t>Quota nel mix (lingua recensioni)</w:t>
            </w:r>
          </w:p>
        </w:tc>
        <w:tc>
          <w:tcPr>
            <w:tcW w:type="dxa" w:w="2880"/>
            <w:shd w:val="clear" w:color="auto" w:fill="2F5D62"/>
          </w:tcPr>
          <w:p>
            <w:r>
              <w:rPr>
                <w:b/>
                <w:color w:val="FFFFFF"/>
                <w:sz w:val="19"/>
              </w:rPr>
              <w:t>Trattamento PPC</w:t>
            </w:r>
          </w:p>
        </w:tc>
      </w:tr>
      <w:tr>
        <w:tc>
          <w:tcPr>
            <w:tcW w:type="dxa" w:w="2880"/>
          </w:tcPr>
          <w:p>
            <w:r>
              <w:rPr>
                <w:sz w:val="19"/>
              </w:rPr>
              <w:t>Italiano</w:t>
            </w:r>
          </w:p>
        </w:tc>
        <w:tc>
          <w:tcPr>
            <w:tcW w:type="dxa" w:w="2880"/>
          </w:tcPr>
          <w:p>
            <w:r>
              <w:rPr>
                <w:sz w:val="19"/>
              </w:rPr>
              <w:t>52,3%</w:t>
            </w:r>
          </w:p>
        </w:tc>
        <w:tc>
          <w:tcPr>
            <w:tcW w:type="dxa" w:w="2880"/>
          </w:tcPr>
          <w:p>
            <w:r>
              <w:rPr>
                <w:sz w:val="19"/>
              </w:rPr>
              <w:t>Campagna in lingua, quota maggiore del layer non-brand, doppia finestra (anticipata + ridosso date)</w:t>
            </w:r>
          </w:p>
        </w:tc>
      </w:tr>
      <w:tr>
        <w:tc>
          <w:tcPr>
            <w:tcW w:type="dxa" w:w="2880"/>
            <w:shd w:val="clear" w:color="auto" w:fill="EEF2F1"/>
          </w:tcPr>
          <w:p>
            <w:r>
              <w:rPr>
                <w:sz w:val="19"/>
              </w:rPr>
              <w:t>Tedesco</w:t>
            </w:r>
          </w:p>
        </w:tc>
        <w:tc>
          <w:tcPr>
            <w:tcW w:type="dxa" w:w="2880"/>
            <w:shd w:val="clear" w:color="auto" w:fill="EEF2F1"/>
          </w:tcPr>
          <w:p>
            <w:r>
              <w:rPr>
                <w:sz w:val="19"/>
              </w:rPr>
              <w:t>15,9%</w:t>
            </w:r>
          </w:p>
        </w:tc>
        <w:tc>
          <w:tcPr>
            <w:tcW w:type="dxa" w:w="2880"/>
            <w:shd w:val="clear" w:color="auto" w:fill="EEF2F1"/>
          </w:tcPr>
          <w:p>
            <w:r>
              <w:rPr>
                <w:sz w:val="19"/>
              </w:rPr>
              <w:t>Campagna in lingua dedicata, accensione anticipata rispetto all'italiano, coerente con la finestra di prenotazione del mercato DACH</w:t>
            </w:r>
          </w:p>
        </w:tc>
      </w:tr>
      <w:tr>
        <w:tc>
          <w:tcPr>
            <w:tcW w:type="dxa" w:w="2880"/>
          </w:tcPr>
          <w:p>
            <w:r>
              <w:rPr>
                <w:sz w:val="19"/>
              </w:rPr>
              <w:t>Inglese</w:t>
            </w:r>
          </w:p>
        </w:tc>
        <w:tc>
          <w:tcPr>
            <w:tcW w:type="dxa" w:w="2880"/>
          </w:tcPr>
          <w:p>
            <w:r>
              <w:rPr>
                <w:sz w:val="19"/>
              </w:rPr>
              <w:t>11,6%</w:t>
            </w:r>
          </w:p>
        </w:tc>
        <w:tc>
          <w:tcPr>
            <w:tcW w:type="dxa" w:w="2880"/>
          </w:tcPr>
          <w:p>
            <w:r>
              <w:rPr>
                <w:sz w:val="19"/>
              </w:rPr>
              <w:t>Pilota a budget contenuto, campagna distinta, da validare prima di stabilizzare</w:t>
            </w:r>
          </w:p>
        </w:tc>
      </w:tr>
      <w:tr>
        <w:tc>
          <w:tcPr>
            <w:tcW w:type="dxa" w:w="2880"/>
            <w:shd w:val="clear" w:color="auto" w:fill="EEF2F1"/>
          </w:tcPr>
          <w:p>
            <w:r>
              <w:rPr>
                <w:sz w:val="19"/>
              </w:rPr>
              <w:t>Francese</w:t>
            </w:r>
          </w:p>
        </w:tc>
        <w:tc>
          <w:tcPr>
            <w:tcW w:type="dxa" w:w="2880"/>
            <w:shd w:val="clear" w:color="auto" w:fill="EEF2F1"/>
          </w:tcPr>
          <w:p>
            <w:r>
              <w:rPr>
                <w:sz w:val="19"/>
              </w:rPr>
              <w:t>2,8%</w:t>
            </w:r>
          </w:p>
        </w:tc>
        <w:tc>
          <w:tcPr>
            <w:tcW w:type="dxa" w:w="2880"/>
            <w:shd w:val="clear" w:color="auto" w:fill="EEF2F1"/>
          </w:tcPr>
          <w:p>
            <w:r>
              <w:rPr>
                <w:sz w:val="19"/>
              </w:rPr>
              <w:t>Nessuna campagna dedicata in questa fase: peso insufficiente nel mix attuale</w:t>
            </w:r>
          </w:p>
        </w:tc>
      </w:tr>
    </w:tbl>
    <w:p>
      <w:pPr>
        <w:spacing w:after="160"/>
      </w:pPr>
    </w:p>
    <w:p>
      <w:pPr>
        <w:spacing w:before="160" w:after="40"/>
      </w:pPr>
      <w:r>
        <w:rPr>
          <w:b/>
          <w:color w:val="2F5D62"/>
          <w:sz w:val="24"/>
        </w:rPr>
        <w:t>KPI</w:t>
      </w:r>
    </w:p>
    <w:p>
      <w:pPr>
        <w:pStyle w:val="ListBullet"/>
      </w:pPr>
      <w:r>
        <w:t>Costo per richiesta di preventivo letto separatamente per ciascuna campagna di mercato, non come media aggregata</w:t>
      </w:r>
    </w:p>
    <w:p>
      <w:pPr>
        <w:pStyle w:val="ListBullet"/>
      </w:pPr>
      <w:r>
        <w:t>Quota di budget non-brand effettivamente assorbita da ciascun mercato, confrontata con il peso del mercato nel mix recensioni</w:t>
      </w:r>
    </w:p>
    <w:p>
      <w:pPr>
        <w:pStyle w:val="ListBullet"/>
      </w:pPr>
      <w:r>
        <w:t>Volume di richieste di preventivo generate dal pilota inglese, come soglia minima per decidere se stabilizzarlo in una campagna a budget pieno</w:t>
      </w:r>
    </w:p>
    <w:p>
      <w:pPr>
        <w:spacing w:before="160" w:after="40"/>
      </w:pPr>
      <w:r>
        <w:rPr>
          <w:b/>
          <w:color w:val="2F5D62"/>
          <w:sz w:val="24"/>
        </w:rPr>
        <w:t>Note esecutive</w:t>
      </w:r>
    </w:p>
    <w:p>
      <w:r>
        <w:t>Il peso dei mercati esteri qui usato è una proxy dalla lingua delle recensioni Booking, non un dato di prenotazione diretta: va trattato come indicazione di composizione del pubblico, non come ripartizione esatta della domanda pagante. La conferma arriva solo quando l'accesso a booking engine o CRM permetterà di leggere la provenienza reale delle richieste per mercato: fino a quel momento ogni riallocazione di budget tra mercati resta guidata da questo indicatore indiretto, aggiornato ai risultati via via che le campagne in lingua accumulano volume.</w:t>
      </w:r>
    </w:p>
    <w:p>
      <w:r>
        <w:br w:type="page"/>
      </w:r>
    </w:p>
    <w:p>
      <w:pPr>
        <w:spacing w:after="0"/>
      </w:pPr>
      <w:r>
        <w:rPr>
          <w:b/>
          <w:color w:val="2F5D62"/>
          <w:sz w:val="18"/>
        </w:rPr>
        <w:t>SEZIONE 06</w:t>
      </w:r>
    </w:p>
    <w:p>
      <w:pPr>
        <w:spacing w:after="200"/>
        <w:pBdr>
          <w:bottom w:val="single" w:sz="18" w:space="6" w:color="2F5D62"/>
        </w:pBdr>
      </w:pPr>
      <w:r>
        <w:rPr>
          <w:b/>
          <w:color w:val="1A1A2E"/>
          <w:sz w:val="40"/>
        </w:rPr>
        <w:t>Calendario e pacing</w:t>
      </w:r>
    </w:p>
    <w:p>
      <w:pPr>
        <w:spacing w:before="160" w:after="40"/>
      </w:pPr>
      <w:r>
        <w:rPr>
          <w:b/>
          <w:color w:val="2F5D62"/>
          <w:sz w:val="24"/>
        </w:rPr>
        <w:t>Distribuzione mensile della domanda di ricerca (Keyword Planner, quota % sul totale annuo)</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Mese</w:t>
            </w:r>
          </w:p>
        </w:tc>
        <w:tc>
          <w:tcPr>
            <w:tcW w:type="dxa" w:w="4320"/>
            <w:shd w:val="clear" w:color="auto" w:fill="2F5D62"/>
          </w:tcPr>
          <w:p>
            <w:r>
              <w:rPr>
                <w:b/>
                <w:color w:val="FFFFFF"/>
                <w:sz w:val="19"/>
              </w:rPr>
              <w:t>Quota domanda</w:t>
            </w:r>
          </w:p>
        </w:tc>
      </w:tr>
      <w:tr>
        <w:tc>
          <w:tcPr>
            <w:tcW w:type="dxa" w:w="4320"/>
          </w:tcPr>
          <w:p>
            <w:r>
              <w:rPr>
                <w:sz w:val="19"/>
              </w:rPr>
              <w:t>gen</w:t>
            </w:r>
          </w:p>
        </w:tc>
        <w:tc>
          <w:tcPr>
            <w:tcW w:type="dxa" w:w="4320"/>
          </w:tcPr>
          <w:p>
            <w:r>
              <w:rPr>
                <w:sz w:val="19"/>
              </w:rPr>
              <w:t>5,6%</w:t>
            </w:r>
          </w:p>
        </w:tc>
      </w:tr>
      <w:tr>
        <w:tc>
          <w:tcPr>
            <w:tcW w:type="dxa" w:w="4320"/>
            <w:shd w:val="clear" w:color="auto" w:fill="EEF2F1"/>
          </w:tcPr>
          <w:p>
            <w:r>
              <w:rPr>
                <w:sz w:val="19"/>
              </w:rPr>
              <w:t>feb</w:t>
            </w:r>
          </w:p>
        </w:tc>
        <w:tc>
          <w:tcPr>
            <w:tcW w:type="dxa" w:w="4320"/>
            <w:shd w:val="clear" w:color="auto" w:fill="EEF2F1"/>
          </w:tcPr>
          <w:p>
            <w:r>
              <w:rPr>
                <w:sz w:val="19"/>
              </w:rPr>
              <w:t>5,5%</w:t>
            </w:r>
          </w:p>
        </w:tc>
      </w:tr>
      <w:tr>
        <w:tc>
          <w:tcPr>
            <w:tcW w:type="dxa" w:w="4320"/>
          </w:tcPr>
          <w:p>
            <w:r>
              <w:rPr>
                <w:sz w:val="19"/>
              </w:rPr>
              <w:t>mar</w:t>
            </w:r>
          </w:p>
        </w:tc>
        <w:tc>
          <w:tcPr>
            <w:tcW w:type="dxa" w:w="4320"/>
          </w:tcPr>
          <w:p>
            <w:r>
              <w:rPr>
                <w:sz w:val="19"/>
              </w:rPr>
              <w:t>6,7%</w:t>
            </w:r>
          </w:p>
        </w:tc>
      </w:tr>
      <w:tr>
        <w:tc>
          <w:tcPr>
            <w:tcW w:type="dxa" w:w="4320"/>
            <w:shd w:val="clear" w:color="auto" w:fill="EEF2F1"/>
          </w:tcPr>
          <w:p>
            <w:r>
              <w:rPr>
                <w:sz w:val="19"/>
              </w:rPr>
              <w:t>apr</w:t>
            </w:r>
          </w:p>
        </w:tc>
        <w:tc>
          <w:tcPr>
            <w:tcW w:type="dxa" w:w="4320"/>
            <w:shd w:val="clear" w:color="auto" w:fill="EEF2F1"/>
          </w:tcPr>
          <w:p>
            <w:r>
              <w:rPr>
                <w:sz w:val="19"/>
              </w:rPr>
              <w:t>7,7%</w:t>
            </w:r>
          </w:p>
        </w:tc>
      </w:tr>
      <w:tr>
        <w:tc>
          <w:tcPr>
            <w:tcW w:type="dxa" w:w="4320"/>
          </w:tcPr>
          <w:p>
            <w:r>
              <w:rPr>
                <w:sz w:val="19"/>
              </w:rPr>
              <w:t>mag</w:t>
            </w:r>
          </w:p>
        </w:tc>
        <w:tc>
          <w:tcPr>
            <w:tcW w:type="dxa" w:w="4320"/>
          </w:tcPr>
          <w:p>
            <w:r>
              <w:rPr>
                <w:sz w:val="19"/>
              </w:rPr>
              <w:t>11,0%</w:t>
            </w:r>
          </w:p>
        </w:tc>
      </w:tr>
      <w:tr>
        <w:tc>
          <w:tcPr>
            <w:tcW w:type="dxa" w:w="4320"/>
            <w:shd w:val="clear" w:color="auto" w:fill="EEF2F1"/>
          </w:tcPr>
          <w:p>
            <w:r>
              <w:rPr>
                <w:sz w:val="19"/>
              </w:rPr>
              <w:t>giu</w:t>
            </w:r>
          </w:p>
        </w:tc>
        <w:tc>
          <w:tcPr>
            <w:tcW w:type="dxa" w:w="4320"/>
            <w:shd w:val="clear" w:color="auto" w:fill="EEF2F1"/>
          </w:tcPr>
          <w:p>
            <w:r>
              <w:rPr>
                <w:sz w:val="19"/>
              </w:rPr>
              <w:t>15,5%</w:t>
            </w:r>
          </w:p>
        </w:tc>
      </w:tr>
      <w:tr>
        <w:tc>
          <w:tcPr>
            <w:tcW w:type="dxa" w:w="4320"/>
          </w:tcPr>
          <w:p>
            <w:r>
              <w:rPr>
                <w:sz w:val="19"/>
              </w:rPr>
              <w:t>lug</w:t>
            </w:r>
          </w:p>
        </w:tc>
        <w:tc>
          <w:tcPr>
            <w:tcW w:type="dxa" w:w="4320"/>
          </w:tcPr>
          <w:p>
            <w:r>
              <w:rPr>
                <w:sz w:val="19"/>
              </w:rPr>
              <w:t>15,9%</w:t>
            </w:r>
          </w:p>
        </w:tc>
      </w:tr>
      <w:tr>
        <w:tc>
          <w:tcPr>
            <w:tcW w:type="dxa" w:w="4320"/>
            <w:shd w:val="clear" w:color="auto" w:fill="EEF2F1"/>
          </w:tcPr>
          <w:p>
            <w:r>
              <w:rPr>
                <w:sz w:val="19"/>
              </w:rPr>
              <w:t>ago</w:t>
            </w:r>
          </w:p>
        </w:tc>
        <w:tc>
          <w:tcPr>
            <w:tcW w:type="dxa" w:w="4320"/>
            <w:shd w:val="clear" w:color="auto" w:fill="EEF2F1"/>
          </w:tcPr>
          <w:p>
            <w:r>
              <w:rPr>
                <w:sz w:val="19"/>
              </w:rPr>
              <w:t>15,6%</w:t>
            </w:r>
          </w:p>
        </w:tc>
      </w:tr>
      <w:tr>
        <w:tc>
          <w:tcPr>
            <w:tcW w:type="dxa" w:w="4320"/>
          </w:tcPr>
          <w:p>
            <w:r>
              <w:rPr>
                <w:sz w:val="19"/>
              </w:rPr>
              <w:t>set</w:t>
            </w:r>
          </w:p>
        </w:tc>
        <w:tc>
          <w:tcPr>
            <w:tcW w:type="dxa" w:w="4320"/>
          </w:tcPr>
          <w:p>
            <w:r>
              <w:rPr>
                <w:sz w:val="19"/>
              </w:rPr>
              <w:t>5,6%</w:t>
            </w:r>
          </w:p>
        </w:tc>
      </w:tr>
      <w:tr>
        <w:tc>
          <w:tcPr>
            <w:tcW w:type="dxa" w:w="4320"/>
            <w:shd w:val="clear" w:color="auto" w:fill="EEF2F1"/>
          </w:tcPr>
          <w:p>
            <w:r>
              <w:rPr>
                <w:sz w:val="19"/>
              </w:rPr>
              <w:t>ott</w:t>
            </w:r>
          </w:p>
        </w:tc>
        <w:tc>
          <w:tcPr>
            <w:tcW w:type="dxa" w:w="4320"/>
            <w:shd w:val="clear" w:color="auto" w:fill="EEF2F1"/>
          </w:tcPr>
          <w:p>
            <w:r>
              <w:rPr>
                <w:sz w:val="19"/>
              </w:rPr>
              <w:t>3,9%</w:t>
            </w:r>
          </w:p>
        </w:tc>
      </w:tr>
      <w:tr>
        <w:tc>
          <w:tcPr>
            <w:tcW w:type="dxa" w:w="4320"/>
          </w:tcPr>
          <w:p>
            <w:r>
              <w:rPr>
                <w:sz w:val="19"/>
              </w:rPr>
              <w:t>nov</w:t>
            </w:r>
          </w:p>
        </w:tc>
        <w:tc>
          <w:tcPr>
            <w:tcW w:type="dxa" w:w="4320"/>
          </w:tcPr>
          <w:p>
            <w:r>
              <w:rPr>
                <w:sz w:val="19"/>
              </w:rPr>
              <w:t>3,2%</w:t>
            </w:r>
          </w:p>
        </w:tc>
      </w:tr>
      <w:tr>
        <w:tc>
          <w:tcPr>
            <w:tcW w:type="dxa" w:w="4320"/>
            <w:shd w:val="clear" w:color="auto" w:fill="EEF2F1"/>
          </w:tcPr>
          <w:p>
            <w:r>
              <w:rPr>
                <w:sz w:val="19"/>
              </w:rPr>
              <w:t>dic</w:t>
            </w:r>
          </w:p>
        </w:tc>
        <w:tc>
          <w:tcPr>
            <w:tcW w:type="dxa" w:w="4320"/>
            <w:shd w:val="clear" w:color="auto" w:fill="EEF2F1"/>
          </w:tcPr>
          <w:p>
            <w:r>
              <w:rPr>
                <w:sz w:val="19"/>
              </w:rPr>
              <w:t>3,8%</w:t>
            </w:r>
          </w:p>
        </w:tc>
      </w:tr>
    </w:tbl>
    <w:p>
      <w:pPr>
        <w:spacing w:after="160"/>
      </w:pPr>
    </w:p>
    <w:p>
      <w:r>
        <w:t>La spesa si concentra con un mese di anticipo sulla domanda (finestra di prenotazione, non date di soggiorno): mesi di picco spesa mag, giu, lug.</w:t>
      </w:r>
    </w:p>
    <w:p>
      <w:r>
        <w:t>L'Hotel Baia Imperiale opera a stagionalità chiusa: il calendario PPC non distribuisce il budget in modo uniforme sui dodici mesi, ma lo concentra dove il decision record indica i mesi di picco spesa — maggio, giugno, luglio — anticipando la finestra di prenotazione rispetto alle date di soggiorno. Il principio operativo è semplice: il presidio brand resta always-on tutto l'anno a copertura minima, mentre non-brand, Hotel Ads e display si accendono e scalano per trigger di finestra, non per budget improvvisato mese per mese.</w:t>
      </w:r>
    </w:p>
    <w:p>
      <w:pPr>
        <w:spacing w:before="160" w:after="40"/>
      </w:pPr>
      <w:r>
        <w:rPr>
          <w:b/>
          <w:color w:val="2F5D62"/>
          <w:sz w:val="24"/>
        </w:rPr>
        <w:t>Obiettivi misurabili</w:t>
      </w:r>
    </w:p>
    <w:p>
      <w:pPr>
        <w:pStyle w:val="ListBullet"/>
      </w:pPr>
      <w:r>
        <w:t>Mantenere il layer brand protection attivo a copertura continua nei mesi di chiusura e in quelli di apertura, senza interruzioni tra un ciclo e l'altro</w:t>
      </w:r>
    </w:p>
    <w:p>
      <w:pPr>
        <w:pStyle w:val="ListBullet"/>
      </w:pPr>
      <w:r>
        <w:t>Far coincidere l'accensione piena del layer non-brand/destinazione con l'apertura della finestra di prenotazione dei mercati prioritari, non con l'apertura fisica della struttura</w:t>
      </w:r>
    </w:p>
    <w:p>
      <w:pPr>
        <w:pStyle w:val="ListBullet"/>
      </w:pPr>
      <w:r>
        <w:t>Concentrare l'incremento di spesa nei mesi di picco indicati dal decision record, con una fase di rampa preparatoria nelle settimane immediatamente precedenti</w:t>
      </w:r>
    </w:p>
    <w:p>
      <w:pPr>
        <w:pStyle w:val="ListBullet"/>
      </w:pPr>
      <w:r>
        <w:t>Programmare una coda di visibilità ravvicinata alle date, distinta dalla rampa anticipata, per intercettare chi decide a distanza breve dal soggiorno</w:t>
      </w:r>
    </w:p>
    <w:p>
      <w:pPr>
        <w:spacing w:before="160" w:after="40"/>
      </w:pPr>
      <w:r>
        <w:rPr>
          <w:b/>
          <w:color w:val="2F5D62"/>
          <w:sz w:val="24"/>
        </w:rPr>
        <w:t>Azioni</w:t>
      </w:r>
    </w:p>
    <w:p>
      <w:r>
        <w:t>Nei mesi di chiusura della struttura il lavoro è di cantiere, non di spesa: si completa l'impianto di misurazione, si verificano i feed e il collegamento Hotel Ads, si prepara il set di parole chiave e di annunci per il mercato italiano e per i mercati in lingua già individuati. Il layer brand protection resta comunque acceso a copertura minima anche a struttura chiusa, perché il nome dell'hotel viene cercato indipendentemente dall'apertura e cederlo agli intermediari in bassa stagione costa quota impression che poi si fatica a recuperare.</w:t>
      </w:r>
    </w:p>
    <w:p>
      <w:r>
        <w:t>La rampa di crescita comincia prima dei mesi di picco spesa, non durante: il decision record individua maggio, giugno e luglio come i mesi in cui l'investimento sale, perché la finestra di prenotazione dei mercati esteri si apre con largo anticipo sul soggiorno e chi scala il budget solo a stagione già iniziata interviene quando la decisione è già presa altrove. Il layer non-brand/destinazione è il primo a salire di intensità in questa rampa, seguito dal livello Hotel Ads una volta verificato il prerequisito di parità tariffaria con il partner di connettività; il display remarketing segue con un passo indietro, perché ha bisogno di traffico già generato dagli altri livelli per avere audience su cui lavorare la richiesta di preventivo mancata.</w:t>
      </w:r>
    </w:p>
    <w:p>
      <w:r>
        <w:t>Durante l'apertura della struttura, la spesa resta alta ma la priorità operativa si sposta: il personale è impegnato in sala e in reception, quindi il PPC deve richiedere il minimo intervento manuale possibile, con controlli programmati piuttosto che aggiustamenti quotidiani. È in questa fase che si raccoglie il materiale — foto, testimonianze, contenuti freschi — utile a rinnovare gli annunci display e i creativi del layer di test nella stagione successiva, perché a struttura chiusa non è più possibile produrlo.</w:t>
      </w:r>
    </w:p>
    <w:p>
      <w:r>
        <w:t>Verso la coda della stagione, quando la domanda anticipata dei mercati esteri si è già convertita altrove o è già stata intercettata, il calendario prevede una seconda fase distinta dalla rampa iniziale: la visibilità ravvicinata alle date, orientata a chi decide a distanza breve dal soggiorno. Questa fase pesa meno sul budget complessivo ma non va confusa con la rampa anticipata: usa messaggi diversi, orientati alla disponibilità immediata piuttosto che alla pianificazione, e si spegne gradualmente man mano che la struttura si avvicina alla chiusura stagionale.</w:t>
      </w:r>
    </w:p>
    <w:p>
      <w:r>
        <w:t>Il layer di riserva stagionale/test segue un pacing proprio: si accende solo dopo che i layer strutturali — brand, non-brand, Hotel Ads — hanno superato la fase di verifica e mostrano segnali stabili, e si ferma per primo se il budget complessivo deve essere ridotto, perché è la voce meno legata alla continuità operativa dell'account.</w:t>
      </w:r>
    </w:p>
    <w:p>
      <w:pPr>
        <w:spacing w:before="160" w:after="40"/>
      </w:pPr>
      <w:r>
        <w:rPr>
          <w:b/>
          <w:color w:val="2F5D62"/>
          <w:sz w:val="24"/>
        </w:rPr>
        <w:t>KPI</w:t>
      </w:r>
    </w:p>
    <w:p>
      <w:pPr>
        <w:pStyle w:val="ListBullet"/>
      </w:pPr>
      <w:r>
        <w:t>Quota impression sul nome mantenuta stabile nei mesi di chiusura e in quelli di apertura, senza cali riconducibili all'assenza di presidio</w:t>
      </w:r>
    </w:p>
    <w:p>
      <w:pPr>
        <w:pStyle w:val="ListBullet"/>
      </w:pPr>
      <w:r>
        <w:t>Data di accensione piena del layer non-brand/destinazione verificata contro l'apertura effettiva della finestra di prenotazione dei mercati prioritari, non contro il calendario di apertura della struttura</w:t>
      </w:r>
    </w:p>
    <w:p>
      <w:pPr>
        <w:pStyle w:val="ListBullet"/>
      </w:pPr>
      <w:r>
        <w:t>Numero di richieste di preventivo generate nella fase di rampa anticipata confrontato con quelle generate nella coda ravvicinata alle date, per verificare l'efficacia relativa delle due fasi</w:t>
      </w:r>
    </w:p>
    <w:p>
      <w:pPr>
        <w:pStyle w:val="ListBullet"/>
      </w:pPr>
      <w:r>
        <w:t>Continuità del layer brand protection nei mesi di chiusura, misurata come assenza di interruzioni di spesa</w:t>
      </w:r>
    </w:p>
    <w:p>
      <w:pPr>
        <w:spacing w:before="160" w:after="40"/>
      </w:pPr>
      <w:r>
        <w:rPr>
          <w:b/>
          <w:color w:val="2F5D62"/>
          <w:sz w:val="24"/>
        </w:rPr>
        <w:t>Note esecutive</w:t>
      </w:r>
    </w:p>
    <w:p>
      <w:r>
        <w:t>Il calendario qui descritto è un meccanismo di trigger, non una tabella di importi mese per mese: l'entità della spesa e la sua ripartizione fra i layer restano quelle già fissate nel decision record di budget, questa sezione ne governa solo la sequenza temporale. Il primo ciclo completo di stagione è anche il primo banco di prova per validare se i mesi di picco indicati coincidono con l'andamento reale delle richieste di preventivo: eventuali scostamenti vanno portati alla ricalibrazione già programmata, non gestiti con aggiustamenti improvvisati a metà stagione.</w:t>
      </w:r>
    </w:p>
    <w:p>
      <w:r>
        <w:br w:type="page"/>
      </w:r>
    </w:p>
    <w:p>
      <w:pPr>
        <w:spacing w:after="0"/>
      </w:pPr>
      <w:r>
        <w:rPr>
          <w:b/>
          <w:color w:val="2F5D62"/>
          <w:sz w:val="18"/>
        </w:rPr>
        <w:t>SEZIONE 07</w:t>
      </w:r>
    </w:p>
    <w:p>
      <w:pPr>
        <w:spacing w:after="200"/>
        <w:pBdr>
          <w:bottom w:val="single" w:sz="18" w:space="6" w:color="2F5D62"/>
        </w:pBdr>
      </w:pPr>
      <w:r>
        <w:rPr>
          <w:b/>
          <w:color w:val="1A1A2E"/>
          <w:sz w:val="40"/>
        </w:rPr>
        <w:t>Budget</w:t>
      </w:r>
    </w:p>
    <w:p>
      <w:pPr>
        <w:spacing w:before="160" w:after="40"/>
      </w:pPr>
      <w:r>
        <w:rPr>
          <w:b/>
          <w:color w:val="2F5D62"/>
          <w:sz w:val="24"/>
        </w:rPr>
        <w:t>Stima del budget (decision record PPC — da validare in agenzia)</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Voce</w:t>
            </w:r>
          </w:p>
        </w:tc>
        <w:tc>
          <w:tcPr>
            <w:tcW w:type="dxa" w:w="4320"/>
            <w:shd w:val="clear" w:color="auto" w:fill="2F5D62"/>
          </w:tcPr>
          <w:p>
            <w:r>
              <w:rPr>
                <w:b/>
                <w:color w:val="FFFFFF"/>
                <w:sz w:val="19"/>
              </w:rPr>
              <w:t>Stima</w:t>
            </w:r>
          </w:p>
        </w:tc>
      </w:tr>
      <w:tr>
        <w:tc>
          <w:tcPr>
            <w:tcW w:type="dxa" w:w="4320"/>
          </w:tcPr>
          <w:p>
            <w:r>
              <w:rPr>
                <w:sz w:val="19"/>
              </w:rPr>
              <w:t>CPC medio ponderato (pianificazione)</w:t>
            </w:r>
          </w:p>
        </w:tc>
        <w:tc>
          <w:tcPr>
            <w:tcW w:type="dxa" w:w="4320"/>
          </w:tcPr>
          <w:p>
            <w:r>
              <w:rPr>
                <w:sz w:val="19"/>
              </w:rPr>
              <w:t>2,41 €</w:t>
            </w:r>
          </w:p>
        </w:tc>
      </w:tr>
      <w:tr>
        <w:tc>
          <w:tcPr>
            <w:tcW w:type="dxa" w:w="4320"/>
            <w:shd w:val="clear" w:color="auto" w:fill="EEF2F1"/>
          </w:tcPr>
          <w:p>
            <w:r>
              <w:rPr>
                <w:sz w:val="19"/>
              </w:rPr>
              <w:t>CPA atteso alla CVR assunta (solo media)</w:t>
            </w:r>
          </w:p>
        </w:tc>
        <w:tc>
          <w:tcPr>
            <w:tcW w:type="dxa" w:w="4320"/>
            <w:shd w:val="clear" w:color="auto" w:fill="EEF2F1"/>
          </w:tcPr>
          <w:p>
            <w:r>
              <w:rPr>
                <w:sz w:val="19"/>
              </w:rPr>
              <w:t>160 €</w:t>
            </w:r>
          </w:p>
        </w:tc>
      </w:tr>
      <w:tr>
        <w:tc>
          <w:tcPr>
            <w:tcW w:type="dxa" w:w="4320"/>
          </w:tcPr>
          <w:p>
            <w:r>
              <w:rPr>
                <w:sz w:val="19"/>
              </w:rPr>
              <w:t>CPA tutto compreso (media + gestione 20%)</w:t>
            </w:r>
          </w:p>
        </w:tc>
        <w:tc>
          <w:tcPr>
            <w:tcW w:type="dxa" w:w="4320"/>
          </w:tcPr>
          <w:p>
            <w:r>
              <w:rPr>
                <w:sz w:val="19"/>
              </w:rPr>
              <w:t>192 €</w:t>
            </w:r>
          </w:p>
        </w:tc>
      </w:tr>
      <w:tr>
        <w:tc>
          <w:tcPr>
            <w:tcW w:type="dxa" w:w="4320"/>
            <w:shd w:val="clear" w:color="auto" w:fill="EEF2F1"/>
          </w:tcPr>
          <w:p>
            <w:r>
              <w:rPr>
                <w:sz w:val="19"/>
              </w:rPr>
              <w:t>Tetto CPA tutto compreso (parità commissione OTA)</w:t>
            </w:r>
          </w:p>
        </w:tc>
        <w:tc>
          <w:tcPr>
            <w:tcW w:type="dxa" w:w="4320"/>
            <w:shd w:val="clear" w:color="auto" w:fill="EEF2F1"/>
          </w:tcPr>
          <w:p>
            <w:r>
              <w:rPr>
                <w:sz w:val="19"/>
              </w:rPr>
              <w:t>—</w:t>
            </w:r>
          </w:p>
        </w:tc>
      </w:tr>
      <w:tr>
        <w:tc>
          <w:tcPr>
            <w:tcW w:type="dxa" w:w="4320"/>
          </w:tcPr>
          <w:p>
            <w:r>
              <w:rPr>
                <w:sz w:val="19"/>
              </w:rPr>
              <w:t>Click/mese catturabili (tetto domanda)</w:t>
            </w:r>
          </w:p>
        </w:tc>
        <w:tc>
          <w:tcPr>
            <w:tcW w:type="dxa" w:w="4320"/>
          </w:tcPr>
          <w:p>
            <w:r>
              <w:rPr>
                <w:sz w:val="19"/>
              </w:rPr>
              <w:t>1290</w:t>
            </w:r>
          </w:p>
        </w:tc>
      </w:tr>
      <w:tr>
        <w:tc>
          <w:tcPr>
            <w:tcW w:type="dxa" w:w="4320"/>
            <w:shd w:val="clear" w:color="auto" w:fill="EEF2F1"/>
          </w:tcPr>
          <w:p>
            <w:r>
              <w:rPr>
                <w:sz w:val="19"/>
              </w:rPr>
              <w:t>Budget non-brand mensile</w:t>
            </w:r>
          </w:p>
        </w:tc>
        <w:tc>
          <w:tcPr>
            <w:tcW w:type="dxa" w:w="4320"/>
            <w:shd w:val="clear" w:color="auto" w:fill="EEF2F1"/>
          </w:tcPr>
          <w:p>
            <w:r>
              <w:rPr>
                <w:sz w:val="19"/>
              </w:rPr>
              <w:t>1.605 € – 3.105 €</w:t>
            </w:r>
          </w:p>
        </w:tc>
      </w:tr>
      <w:tr>
        <w:tc>
          <w:tcPr>
            <w:tcW w:type="dxa" w:w="4320"/>
          </w:tcPr>
          <w:p>
            <w:r>
              <w:rPr>
                <w:sz w:val="19"/>
              </w:rPr>
              <w:t>Budget giornaliero TOTALE (brand inclusa)</w:t>
            </w:r>
          </w:p>
        </w:tc>
        <w:tc>
          <w:tcPr>
            <w:tcW w:type="dxa" w:w="4320"/>
          </w:tcPr>
          <w:p>
            <w:r>
              <w:rPr>
                <w:sz w:val="19"/>
              </w:rPr>
              <w:t>60 € – 115 €</w:t>
            </w:r>
          </w:p>
        </w:tc>
      </w:tr>
    </w:tbl>
    <w:p>
      <w:pPr>
        <w:spacing w:after="160"/>
      </w:pPr>
    </w:p>
    <w:p>
      <w:r>
        <w:t>Il giornaliero è una media: Google può spendere fino al doppio in un singolo giorno restando nel tetto mensile. Sotto le 30 conversioni/mese partire con Maximize Conversions/Clicks, non con target tCPA/tROAS.</w:t>
      </w:r>
    </w:p>
    <w:p>
      <w:pPr>
        <w:spacing w:before="160" w:after="40"/>
      </w:pPr>
      <w:r>
        <w:rPr>
          <w:b/>
          <w:color w:val="2F5D62"/>
          <w:sz w:val="24"/>
        </w:rPr>
        <w:t>Ripartizione fra i layer (sull'investimento PPC)</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Layer</w:t>
            </w:r>
          </w:p>
        </w:tc>
        <w:tc>
          <w:tcPr>
            <w:tcW w:type="dxa" w:w="4320"/>
            <w:shd w:val="clear" w:color="auto" w:fill="2F5D62"/>
          </w:tcPr>
          <w:p>
            <w:r>
              <w:rPr>
                <w:b/>
                <w:color w:val="FFFFFF"/>
                <w:sz w:val="19"/>
              </w:rPr>
              <w:t>Quota</w:t>
            </w:r>
          </w:p>
        </w:tc>
      </w:tr>
      <w:tr>
        <w:tc>
          <w:tcPr>
            <w:tcW w:type="dxa" w:w="4320"/>
          </w:tcPr>
          <w:p>
            <w:r>
              <w:rPr>
                <w:sz w:val="19"/>
              </w:rPr>
              <w:t>Brand protection</w:t>
            </w:r>
          </w:p>
        </w:tc>
        <w:tc>
          <w:tcPr>
            <w:tcW w:type="dxa" w:w="4320"/>
          </w:tcPr>
          <w:p>
            <w:r>
              <w:rPr>
                <w:sz w:val="19"/>
              </w:rPr>
              <w:t>dal 15% al 20%</w:t>
            </w:r>
          </w:p>
        </w:tc>
      </w:tr>
      <w:tr>
        <w:tc>
          <w:tcPr>
            <w:tcW w:type="dxa" w:w="4320"/>
            <w:shd w:val="clear" w:color="auto" w:fill="EEF2F1"/>
          </w:tcPr>
          <w:p>
            <w:r>
              <w:rPr>
                <w:sz w:val="19"/>
              </w:rPr>
              <w:t>Search non-brand / destinazione</w:t>
            </w:r>
          </w:p>
        </w:tc>
        <w:tc>
          <w:tcPr>
            <w:tcW w:type="dxa" w:w="4320"/>
            <w:shd w:val="clear" w:color="auto" w:fill="EEF2F1"/>
          </w:tcPr>
          <w:p>
            <w:r>
              <w:rPr>
                <w:sz w:val="19"/>
              </w:rPr>
              <w:t>dal 25% al 35%</w:t>
            </w:r>
          </w:p>
        </w:tc>
      </w:tr>
      <w:tr>
        <w:tc>
          <w:tcPr>
            <w:tcW w:type="dxa" w:w="4320"/>
          </w:tcPr>
          <w:p>
            <w:r>
              <w:rPr>
                <w:sz w:val="19"/>
              </w:rPr>
              <w:t>Google Hotel Ads</w:t>
            </w:r>
          </w:p>
        </w:tc>
        <w:tc>
          <w:tcPr>
            <w:tcW w:type="dxa" w:w="4320"/>
          </w:tcPr>
          <w:p>
            <w:r>
              <w:rPr>
                <w:sz w:val="19"/>
              </w:rPr>
              <w:t>dal 20% al 30%</w:t>
            </w:r>
          </w:p>
        </w:tc>
      </w:tr>
      <w:tr>
        <w:tc>
          <w:tcPr>
            <w:tcW w:type="dxa" w:w="4320"/>
            <w:shd w:val="clear" w:color="auto" w:fill="EEF2F1"/>
          </w:tcPr>
          <w:p>
            <w:r>
              <w:rPr>
                <w:sz w:val="19"/>
              </w:rPr>
              <w:t>Display remarketing</w:t>
            </w:r>
          </w:p>
        </w:tc>
        <w:tc>
          <w:tcPr>
            <w:tcW w:type="dxa" w:w="4320"/>
            <w:shd w:val="clear" w:color="auto" w:fill="EEF2F1"/>
          </w:tcPr>
          <w:p>
            <w:r>
              <w:rPr>
                <w:sz w:val="19"/>
              </w:rPr>
              <w:t>dal 10% al 15%</w:t>
            </w:r>
          </w:p>
        </w:tc>
      </w:tr>
      <w:tr>
        <w:tc>
          <w:tcPr>
            <w:tcW w:type="dxa" w:w="4320"/>
          </w:tcPr>
          <w:p>
            <w:r>
              <w:rPr>
                <w:sz w:val="19"/>
              </w:rPr>
              <w:t>Riserva stagionale / test (PMax pilota)</w:t>
            </w:r>
          </w:p>
        </w:tc>
        <w:tc>
          <w:tcPr>
            <w:tcW w:type="dxa" w:w="4320"/>
          </w:tcPr>
          <w:p>
            <w:r>
              <w:rPr>
                <w:sz w:val="19"/>
              </w:rPr>
              <w:t>dal 10% al 20%</w:t>
            </w:r>
          </w:p>
        </w:tc>
      </w:tr>
    </w:tbl>
    <w:p>
      <w:pPr>
        <w:spacing w:after="160"/>
      </w:pPr>
    </w:p>
    <w:p>
      <w:r>
        <w:t>Il budget stimato riportato nel decision record — la forbice giornaliera totale, il minimo per il presidio brand always-on e la ripartizione per livello — è la base di lavoro e va validata in agenzia prima dell'attivazione: qui si spiega come leggerla e come governarla nel tempo, non la si ricalcola né la si integra con nuove cifre.</w:t>
      </w:r>
    </w:p>
    <w:p>
      <w:pPr>
        <w:spacing w:before="160" w:after="40"/>
      </w:pPr>
      <w:r>
        <w:rPr>
          <w:b/>
          <w:color w:val="2F5D62"/>
          <w:sz w:val="24"/>
        </w:rPr>
        <w:t>Obiettivi misurabili</w:t>
      </w:r>
    </w:p>
    <w:p>
      <w:pPr>
        <w:pStyle w:val="ListBullet"/>
      </w:pPr>
      <w:r>
        <w:t>Applicare la forbice giornaliera del decision record fin dal primo ciclo, senza scendere sotto il minimo di presidio brand always-on</w:t>
      </w:r>
    </w:p>
    <w:p>
      <w:pPr>
        <w:pStyle w:val="ListBullet"/>
      </w:pPr>
      <w:r>
        <w:t>Mantenere la ripartizione percentuale tra i cinque livelli (brand protection, search non-brand/destinazione, Google Hotel Ads, display remarketing, riserva stagionale/test) nei limiti indicati dal decision record</w:t>
      </w:r>
    </w:p>
    <w:p>
      <w:pPr>
        <w:pStyle w:val="ListBullet"/>
      </w:pPr>
      <w:r>
        <w:t>Far transitare ogni campagna dalla logica di volume alla logica di efficienza solo al raggiungimento della soglia di conversioni mensili già fissata nelle assunzioni</w:t>
      </w:r>
    </w:p>
    <w:p>
      <w:pPr>
        <w:pStyle w:val="ListBullet"/>
      </w:pPr>
      <w:r>
        <w:t>Fissare col cliente, prima della prima ricalibrazione già programmata, una lettura di riferimento sul costo per richiesta di preventivo rispetto alla commissione intermediata, così da poter giudicare l'efficienza reale del non-brand</w:t>
      </w:r>
    </w:p>
    <w:p>
      <w:pPr>
        <w:spacing w:before="160" w:after="40"/>
      </w:pPr>
      <w:r>
        <w:rPr>
          <w:b/>
          <w:color w:val="2F5D62"/>
          <w:sz w:val="24"/>
        </w:rPr>
        <w:t>Azioni</w:t>
      </w:r>
    </w:p>
    <w:p>
      <w:r>
        <w:t>Il minimo della forbice non è un tetto di risparmio: è il pavimento sotto il quale l'account perde la capacità di imparare. Il presidio brand always-on va mantenuto al proprio minimo anche nei mesi di domanda debole, perché è la voce che protegge nel breve le richieste di preventivo già in casa; scendere sotto quella soglia significa lasciare spazio agli intermediari sul nome, non risparmiare. Il massimo della forbice, al contrario, non è un traguardo da raggiungere sempre: si sale verso il tetto solo quando la domanda di ricerca lo giustifica — nei mesi di anticipo già indicati nel calendario — e si resta più vicini al minimo nei mesi di domanda debole, quando spingere oltre produrrebbe solo clic aggiuntivi senza richieste in più. Il criterio che guida ogni aumento resta lo stesso lungo tutto il piano: il costo per richiesta di preventivo deve restare leggibile e sostenibile rispetto al costo di una prenotazione intermediata, non semplicemente basso in assoluto — è il confronto che rende visibile il vantaggio del canale diretto rispetto all'intermediazione. La ripartizione fra i cinque livelli segue l'ordine di attivazione già stabilito: il brand protection e i link gratuiti su Hotel Ads restano operativi in ogni momento dell'anno, mentre il non-brand, il layer Hotel Ads a pagamento, il remarketing e la riserva stagionale/test si accendono o si rafforzano secondo il calendario e secondo l'evidenza di conversione raccolta strada per strada. Nessuna campagna passa a una logica di offerta automatica orientata al risultato prima di aver accumulato il volume minimo di conversioni mensili già fissato nelle assunzioni: sotto quella soglia si resta su strategie di offerta orientate al volume di clic o di conversioni con un tetto di spesa per clic, perché un'offerta automatica orientata al risultato senza dati a sufficienza produce stime instabili e spesa mal distribuita. La riserva stagionale/test è la voce più flessibile della ripartizione: va usata per il pilota di espansione a bassa supervisione previsto in un livello successivo del piano e per assorbire eventuali oscillazioni di prezzo all'asta nei mesi di punta, non per finanziare aumenti permanenti di un singolo livello.</w:t>
      </w:r>
    </w:p>
    <w:p>
      <w:pPr>
        <w:spacing w:before="160" w:after="40"/>
      </w:pPr>
      <w:r>
        <w:rPr>
          <w:b/>
          <w:color w:val="2F5D62"/>
          <w:sz w:val="24"/>
        </w:rPr>
        <w:t>KPI</w:t>
      </w:r>
    </w:p>
    <w:p>
      <w:pPr>
        <w:pStyle w:val="ListBullet"/>
      </w:pPr>
      <w:r>
        <w:t>Rispetto della forbice giornaliera e del minimo di presidio brand always-on, verificato a ogni ciclo di revisione</w:t>
      </w:r>
    </w:p>
    <w:p>
      <w:pPr>
        <w:pStyle w:val="ListBullet"/>
      </w:pPr>
      <w:r>
        <w:t>Ripartizione percentuale effettiva tra i cinque livelli confrontata con gli intervalli del decision record</w:t>
      </w:r>
    </w:p>
    <w:p>
      <w:pPr>
        <w:pStyle w:val="ListBullet"/>
      </w:pPr>
      <w:r>
        <w:t>Numero di conversioni mensili per campagna, come cancello di passaggio dall'offerta a volume a quella orientata al risultato</w:t>
      </w:r>
    </w:p>
    <w:p>
      <w:pPr>
        <w:pStyle w:val="ListBullet"/>
      </w:pPr>
      <w:r>
        <w:t>Costo per richiesta di preventivo per livello, letto nel tempo e confrontato con il riferimento della commissione intermediata</w:t>
      </w:r>
    </w:p>
    <w:p>
      <w:pPr>
        <w:spacing w:before="160" w:after="40"/>
      </w:pPr>
      <w:r>
        <w:rPr>
          <w:b/>
          <w:color w:val="2F5D62"/>
          <w:sz w:val="24"/>
        </w:rPr>
        <w:t>Note esecutive</w:t>
      </w:r>
    </w:p>
    <w:p>
      <w:r>
        <w:t>La stima è esplicitamente da validare in agenzia: la ripartizione e la forbice del decision record sono il punto di partenza operativo, non un valore definitivo. La cadenza di revisione con l'agenzia va agganciata al calendario già definito — controllo più frequente nei mesi di anticipo sulla domanda, controllo di mantenimento nei mesi di domanda debole — e alla prima ricalibrazione già programmata nelle assunzioni del piano, quando i dati reali di conversione permetteranno di correggere pesi e soglie senza modificare in questa sede la forbice stessa.</w:t>
      </w:r>
    </w:p>
    <w:p>
      <w:r>
        <w:br w:type="page"/>
      </w:r>
    </w:p>
    <w:p>
      <w:pPr>
        <w:spacing w:after="0"/>
      </w:pPr>
      <w:r>
        <w:rPr>
          <w:b/>
          <w:color w:val="2F5D62"/>
          <w:sz w:val="18"/>
        </w:rPr>
        <w:t>APPENDICE</w:t>
      </w:r>
    </w:p>
    <w:p>
      <w:pPr>
        <w:spacing w:after="200"/>
        <w:pBdr>
          <w:bottom w:val="single" w:sz="18" w:space="6" w:color="2F5D62"/>
        </w:pBdr>
      </w:pPr>
      <w:r>
        <w:rPr>
          <w:b/>
          <w:color w:val="1A1A2E"/>
          <w:sz w:val="40"/>
        </w:rPr>
        <w:t>Assunzioni e re-verifica</w:t>
      </w:r>
    </w:p>
    <w:p>
      <w:pPr>
        <w:spacing w:before="160" w:after="40"/>
      </w:pPr>
      <w:r>
        <w:rPr>
          <w:b/>
          <w:color w:val="2F5D62"/>
          <w:sz w:val="24"/>
        </w:rPr>
        <w:t>Assunzioni del decision record PPC</w:t>
      </w:r>
    </w:p>
    <w:p>
      <w:pPr>
        <w:pStyle w:val="ListBullet"/>
      </w:pPr>
      <w:r>
        <w:t>nessun booking engine né CRM dichiarati: si misura il costo per richiesta; il passaggio a B+/A è un'azione del piano</w:t>
      </w:r>
    </w:p>
    <w:p>
      <w:pPr>
        <w:pStyle w:val="ListBullet"/>
      </w:pPr>
      <w:r>
        <w:t>CVR assunta 1.5% (benchmark hotel indipendenti, non misurata: un errore di ±2× sposta il budget di ±2×)</w:t>
      </w:r>
    </w:p>
    <w:p>
      <w:pPr>
        <w:pStyle w:val="ListBullet"/>
      </w:pPr>
      <w:r>
        <w:t>costo di gestione assunto al 20% dello spend (fee reale nell'allegato agenzia): il confronto col tetto OTA usa il costo per prenotazione TUTTO COMPRESO</w:t>
      </w:r>
    </w:p>
    <w:p>
      <w:pPr>
        <w:pStyle w:val="ListBullet"/>
      </w:pPr>
      <w:r>
        <w:t>valore medio di prenotazione non dichiarato: il tetto CPA da parità OTA non è calcolabile; la stima usa solo i floor e il tetto di domanda</w:t>
      </w:r>
    </w:p>
    <w:p>
      <w:pPr>
        <w:pStyle w:val="ListBullet"/>
      </w:pPr>
      <w:r>
        <w:t>domanda eleggibile stimata ×3 rispetto alle keyword censite (37 non-brand): broad match e varianti ampliano il reach oltre la lista</w:t>
      </w:r>
    </w:p>
    <w:p>
      <w:pPr>
        <w:pStyle w:val="ListBullet"/>
      </w:pPr>
      <w:r>
        <w:t>booking engine non dichiarato: free booking links da subito; il bidding Hotel Ads dopo la verifica del partner di connettività</w:t>
      </w:r>
    </w:p>
    <w:p>
      <w:pPr>
        <w:pStyle w:val="ListBullet"/>
      </w:pPr>
      <w:r>
        <w:t>parità tariffaria non presidiata secondo il decision record della strategia: prerequisito del bidding sui metasearch</w:t>
      </w:r>
    </w:p>
    <w:p>
      <w:pPr>
        <w:pStyle w:val="ListBullet"/>
      </w:pPr>
      <w:r>
        <w:t>quadro Google/UE in movimento: rimedio DMA sui risultati hotel atteso entro settembre 2026 — ri-verificare l'assetto delle superfici Google dopo tale data</w:t>
      </w:r>
    </w:p>
    <w:p>
      <w:r>
        <w:t>Questo piano esegue un mandato costruito su assunzioni esplicite, non su dati di conto già misurati: la modalità di misurazione a lead generation, i vincoli di budget giornaliero, lo stato non dichiarato del booking engine e del partner di connettività per gli Hotel Ads. Chiuderlo onestamente significa dire con chiarezza cosa è ipotesi da validare e cosa è input ancora mancante, e fissare fin da ora i momenti in cui il piano verrà ricalibrato con dati reali — non lasciarli a un generico "seguiremo i risultati".</w:t>
      </w:r>
    </w:p>
    <w:p>
      <w:pPr>
        <w:spacing w:before="160" w:after="40"/>
      </w:pPr>
      <w:r>
        <w:rPr>
          <w:b/>
          <w:color w:val="2F5D62"/>
          <w:sz w:val="24"/>
        </w:rPr>
        <w:t>Obiettivi misurabili</w:t>
      </w:r>
    </w:p>
    <w:p>
      <w:pPr>
        <w:pStyle w:val="ListBullet"/>
      </w:pPr>
      <w:r>
        <w:t>Raccogliere dal cliente, prima o durante il primo ciclo di attivazione, i cinque input mancanti elencati in questa sezione: senza di essi il budget resta una stima da validare in agenzia, non un piano tarato sui numeri della struttura</w:t>
      </w:r>
    </w:p>
    <w:p>
      <w:pPr>
        <w:pStyle w:val="ListBullet"/>
      </w:pPr>
      <w:r>
        <w:t>Programmare la prima ricalibrazione del budget stimato entro i primi 30-60 giorni di spesa reale, non a fine stagione</w:t>
      </w:r>
    </w:p>
    <w:p>
      <w:pPr>
        <w:pStyle w:val="ListBullet"/>
      </w:pPr>
      <w:r>
        <w:t>Programmare la verifica del capitolo Hotel Ads alla data del provvedimento europeo sulle superfici hotel di Google (~settembre 2026), aggiornando il piano se cambia l'accesso ai free booking link o al bidding</w:t>
      </w:r>
    </w:p>
    <w:p>
      <w:pPr>
        <w:spacing w:before="160" w:after="40"/>
      </w:pPr>
      <w:r>
        <w:rPr>
          <w:b/>
          <w:color w:val="2F5D62"/>
          <w:sz w:val="24"/>
        </w:rPr>
        <w:t>Azioni</w:t>
      </w:r>
    </w:p>
    <w:p>
      <w:r>
        <w:t>Le assunzioni del decision record vanno rese esplicite una per una. La modalità di misurazione è B, lead generation: la conversione primaria è la richiesta di preventivo (form, telefono, email), non una prenotazione confermata sul motore — il piano non presume quindi ricavo diretto attribuito, ma volume e costo di richieste qualificate. Il booking engine non è dichiarato: fino a verifica, i free booking link su Hotel Ads restano il livello attivabile da subito, mentre il bidding a pagamento resta condizionato alla conferma di un partner di connettività certificato e alla parità tariffaria, prerequisito tecnico già segnalato dalla strategia e non negoziabile in fase di attivazione. Il CRM non è dichiarato: fino a conferma, il piano non presume un canale di remarketing via email né un import di conversioni offline, e la campagna di remarketing display lavora solo sui segnali raccolti dal tag sul sito. Il budget stimato — giornaliero totale e always-on di brand — è marcato da validare in agenzia: è un punto di partenza costruito su benchmark di settore e sulla ripartizione per layer già fissata, non una cifra osservata sul conto pubblicitario del cliente. Su questa base, gli input che mancano oggi e che vanno richiesti alla struttura prima di consolidare il piano sono: lo storico di conversioni e di spesa pubblicitaria pregressa, se esiste un account Google Ads già attivo; l'accesso amministrativo all'account Ads stesso, per ereditare storicità e non ripartire da zero; l'accesso a GA4 e Search Console, per leggere il comportamento sul sito prima e dopo il click; la conferma sullo stato del booking engine e del partner di connettività, che sbloccano o meno il bidding Hotel Ads; e l'eventuale presenza di un CRM o di liste email, che deciderebbe se attivare fin da subito un layer di remarketing più ricco. Ognuno di questi input, una volta arrivato, sposta una casella già scritta in questo piano — non ne cambia l'impianto, ne aggiusta i numeri.</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Trigger di re-verifica</w:t>
            </w:r>
          </w:p>
        </w:tc>
        <w:tc>
          <w:tcPr>
            <w:tcW w:type="dxa" w:w="4320"/>
            <w:shd w:val="clear" w:color="auto" w:fill="2F5D62"/>
          </w:tcPr>
          <w:p>
            <w:r>
              <w:rPr>
                <w:b/>
                <w:color w:val="FFFFFF"/>
                <w:sz w:val="19"/>
              </w:rPr>
              <w:t>Cosa aggiorna</w:t>
            </w:r>
          </w:p>
        </w:tc>
      </w:tr>
      <w:tr>
        <w:tc>
          <w:tcPr>
            <w:tcW w:type="dxa" w:w="4320"/>
          </w:tcPr>
          <w:p>
            <w:r>
              <w:rPr>
                <w:sz w:val="19"/>
              </w:rPr>
              <w:t>Primi 30-60 giorni di spesa reale</w:t>
            </w:r>
          </w:p>
        </w:tc>
        <w:tc>
          <w:tcPr>
            <w:tcW w:type="dxa" w:w="4320"/>
          </w:tcPr>
          <w:p>
            <w:r>
              <w:rPr>
                <w:sz w:val="19"/>
              </w:rPr>
              <w:t>Ricalibrazione del budget stimato (60 €-115 €/giorno) sulla base del costo per richiesta di preventivo osservato</w:t>
            </w:r>
          </w:p>
        </w:tc>
      </w:tr>
      <w:tr>
        <w:tc>
          <w:tcPr>
            <w:tcW w:type="dxa" w:w="4320"/>
            <w:shd w:val="clear" w:color="auto" w:fill="EEF2F1"/>
          </w:tcPr>
          <w:p>
            <w:r>
              <w:rPr>
                <w:sz w:val="19"/>
              </w:rPr>
              <w:t>Conferma booking engine e partner di connettività</w:t>
            </w:r>
          </w:p>
        </w:tc>
        <w:tc>
          <w:tcPr>
            <w:tcW w:type="dxa" w:w="4320"/>
            <w:shd w:val="clear" w:color="auto" w:fill="EEF2F1"/>
          </w:tcPr>
          <w:p>
            <w:r>
              <w:rPr>
                <w:sz w:val="19"/>
              </w:rPr>
              <w:t>Attivazione del bidding Hotel Ads oltre i free booking link</w:t>
            </w:r>
          </w:p>
        </w:tc>
      </w:tr>
      <w:tr>
        <w:tc>
          <w:tcPr>
            <w:tcW w:type="dxa" w:w="4320"/>
          </w:tcPr>
          <w:p>
            <w:r>
              <w:rPr>
                <w:sz w:val="19"/>
              </w:rPr>
              <w:t>Provvedimento UE sulle superfici hotel di Google (~settembre 2026)</w:t>
            </w:r>
          </w:p>
        </w:tc>
        <w:tc>
          <w:tcPr>
            <w:tcW w:type="dxa" w:w="4320"/>
          </w:tcPr>
          <w:p>
            <w:r>
              <w:rPr>
                <w:sz w:val="19"/>
              </w:rPr>
              <w:t>Revisione del capitolo Hotel Ads: accesso a free booking link e bidding, pesi del layer metasearch</w:t>
            </w:r>
          </w:p>
        </w:tc>
      </w:tr>
      <w:tr>
        <w:tc>
          <w:tcPr>
            <w:tcW w:type="dxa" w:w="4320"/>
            <w:shd w:val="clear" w:color="auto" w:fill="EEF2F1"/>
          </w:tcPr>
          <w:p>
            <w:r>
              <w:rPr>
                <w:sz w:val="19"/>
              </w:rPr>
              <w:t>Accesso ad Ads, GA4, Search Console, CRM</w:t>
            </w:r>
          </w:p>
        </w:tc>
        <w:tc>
          <w:tcPr>
            <w:tcW w:type="dxa" w:w="4320"/>
            <w:shd w:val="clear" w:color="auto" w:fill="EEF2F1"/>
          </w:tcPr>
          <w:p>
            <w:r>
              <w:rPr>
                <w:sz w:val="19"/>
              </w:rPr>
              <w:t>Validazione dei KPI di canale e apertura eventuale del layer remarketing CRM</w:t>
            </w:r>
          </w:p>
        </w:tc>
      </w:tr>
    </w:tbl>
    <w:p>
      <w:pPr>
        <w:spacing w:after="160"/>
      </w:pPr>
    </w:p>
    <w:p>
      <w:pPr>
        <w:spacing w:before="160" w:after="40"/>
      </w:pPr>
      <w:r>
        <w:rPr>
          <w:b/>
          <w:color w:val="2F5D62"/>
          <w:sz w:val="24"/>
        </w:rPr>
        <w:t>Note esecutive</w:t>
      </w:r>
    </w:p>
    <w:p>
      <w:r>
        <w:t>Fino a raccolta di questi input, ogni cifra di budget o di ripartizione in questo piano resta un'assunzione dichiarata, non un target contrattuale: va comunicato così al cliente per evitare aspettative su numeri che il piano stesso segnala come da validare.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